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34806" cy="4297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34805" cy="4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  <w:t>ХАНТЫ – МАНСИЙСКИЙ АВТОНОМНЫЙ ОКРУГ - ЮГРА</w:t>
      </w: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  <w:t>ТЮМЕНСКАЯ ОБЛАСТЬ</w:t>
      </w: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  <w:t>ПРЕДСТАВИТЕЛЬНЫЙ ОРГАН МУНИЦИПАЛЬНОГО ОБРАЗОВАНИЯ</w:t>
      </w: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0"/>
          <w:lang w:eastAsia="ru-RU"/>
        </w:rPr>
        <w:t>ДУМА ГОРОДА МЕГИОНА</w:t>
      </w:r>
    </w:p>
    <w:p w:rsidR="00FC07A3" w:rsidRDefault="00BA6FFC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Cs/>
          <w:iCs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eastAsia="ru-RU"/>
        </w:rPr>
        <w:t>РЕШЕНИЕ</w:t>
      </w:r>
    </w:p>
    <w:p w:rsidR="00FC07A3" w:rsidRDefault="00BA6FFC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«__» __________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2026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            №___</w:t>
      </w:r>
    </w:p>
    <w:p w:rsidR="00FC07A3" w:rsidRDefault="00FC07A3">
      <w:pPr>
        <w:spacing w:after="0" w:line="240" w:lineRule="auto"/>
        <w:ind w:left="-108"/>
        <w:rPr>
          <w:rFonts w:ascii="Times New Roman" w:hAnsi="Times New Roman"/>
          <w:color w:val="0000FF"/>
          <w:sz w:val="24"/>
          <w:szCs w:val="24"/>
        </w:rPr>
      </w:pPr>
    </w:p>
    <w:p w:rsidR="00FC07A3" w:rsidRDefault="00FC07A3">
      <w:pPr>
        <w:spacing w:after="0" w:line="240" w:lineRule="auto"/>
        <w:ind w:left="-108"/>
        <w:rPr>
          <w:rFonts w:ascii="Times New Roman" w:hAnsi="Times New Roman"/>
          <w:color w:val="0000FF"/>
          <w:sz w:val="24"/>
          <w:szCs w:val="24"/>
        </w:rPr>
      </w:pPr>
    </w:p>
    <w:p w:rsidR="00FC07A3" w:rsidRDefault="00FC07A3">
      <w:pPr>
        <w:spacing w:after="0" w:line="240" w:lineRule="auto"/>
        <w:ind w:left="-108"/>
        <w:rPr>
          <w:rFonts w:ascii="Times New Roman" w:hAnsi="Times New Roman"/>
          <w:color w:val="0000FF"/>
          <w:sz w:val="24"/>
          <w:szCs w:val="24"/>
        </w:rPr>
      </w:pPr>
    </w:p>
    <w:p w:rsidR="00FC07A3" w:rsidRDefault="00BA6FFC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 деятельности Контрольно-счетной </w:t>
      </w:r>
    </w:p>
    <w:p w:rsidR="00FC07A3" w:rsidRDefault="00BA6FFC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палаты города Мегиона за 2025 год</w:t>
      </w:r>
    </w:p>
    <w:p w:rsidR="00FC07A3" w:rsidRDefault="00FC07A3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</w:p>
    <w:p w:rsidR="00FC07A3" w:rsidRDefault="00FC07A3">
      <w:pPr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</w:p>
    <w:p w:rsidR="00FC07A3" w:rsidRDefault="00BA6FFC">
      <w:pPr>
        <w:spacing w:after="0" w:line="240" w:lineRule="auto"/>
        <w:ind w:left="-108" w:firstLine="8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проект решения Думы города Мегиона «Отчет о деятельности Контрольно-счетной палаты города Мегиона за 2025 год», руководствуясь статьей 19 устава города Мегиона, Положен</w:t>
      </w:r>
      <w:r>
        <w:rPr>
          <w:rFonts w:ascii="Times New Roman" w:hAnsi="Times New Roman"/>
          <w:sz w:val="24"/>
          <w:szCs w:val="24"/>
        </w:rPr>
        <w:t>ием о Контрольно-счетной палате города Мегиона, утвержденным решением Думы города Мегиона от 27.01.2012 № 222 (с изменениями), Дума города Мегиона</w:t>
      </w:r>
    </w:p>
    <w:p w:rsidR="00FC07A3" w:rsidRDefault="00FC07A3">
      <w:pPr>
        <w:spacing w:after="0" w:line="240" w:lineRule="auto"/>
        <w:ind w:left="3432" w:firstLine="816"/>
        <w:rPr>
          <w:rFonts w:ascii="Times New Roman" w:hAnsi="Times New Roman"/>
          <w:sz w:val="24"/>
          <w:szCs w:val="24"/>
        </w:rPr>
      </w:pPr>
    </w:p>
    <w:p w:rsidR="00FC07A3" w:rsidRDefault="00BA6FFC">
      <w:pPr>
        <w:spacing w:after="0" w:line="240" w:lineRule="auto"/>
        <w:ind w:left="3432" w:firstLine="8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РЕШИЛА:</w:t>
      </w:r>
    </w:p>
    <w:p w:rsidR="00FC07A3" w:rsidRDefault="00FC07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7A3" w:rsidRDefault="00BA6FFC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о деятельности Контрольно-счетной палаты города Мегиона за 2025 год (прилагается).</w:t>
      </w:r>
    </w:p>
    <w:p w:rsidR="00FC07A3" w:rsidRDefault="00BA6FFC">
      <w:pPr>
        <w:spacing w:after="0" w:line="240" w:lineRule="auto"/>
        <w:ind w:left="-108"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после его подписания и подлежит официальному опубликованию.</w:t>
      </w:r>
    </w:p>
    <w:p w:rsidR="00FC07A3" w:rsidRDefault="00FC07A3">
      <w:pPr>
        <w:spacing w:after="0" w:line="240" w:lineRule="auto"/>
        <w:ind w:left="-108" w:firstLine="816"/>
        <w:jc w:val="both"/>
        <w:rPr>
          <w:rFonts w:ascii="Times New Roman" w:hAnsi="Times New Roman"/>
          <w:sz w:val="24"/>
          <w:szCs w:val="24"/>
        </w:rPr>
      </w:pPr>
    </w:p>
    <w:p w:rsidR="00FC07A3" w:rsidRDefault="00FC07A3">
      <w:pPr>
        <w:spacing w:after="0" w:line="240" w:lineRule="auto"/>
        <w:ind w:left="-108" w:firstLine="816"/>
        <w:rPr>
          <w:rFonts w:ascii="Times New Roman" w:hAnsi="Times New Roman"/>
          <w:sz w:val="24"/>
          <w:szCs w:val="24"/>
        </w:rPr>
      </w:pPr>
    </w:p>
    <w:p w:rsidR="00FC07A3" w:rsidRDefault="00FC07A3">
      <w:pPr>
        <w:spacing w:after="0" w:line="240" w:lineRule="auto"/>
        <w:ind w:left="-108" w:firstLine="816"/>
        <w:rPr>
          <w:rFonts w:ascii="Times New Roman" w:hAnsi="Times New Roman"/>
          <w:sz w:val="24"/>
          <w:szCs w:val="24"/>
        </w:rPr>
      </w:pPr>
    </w:p>
    <w:p w:rsidR="00FC07A3" w:rsidRDefault="00BA6FFC">
      <w:pPr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города Мегиона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В.С.Заднепровская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</w:t>
      </w:r>
    </w:p>
    <w:p w:rsidR="00FC07A3" w:rsidRDefault="00BA6FFC">
      <w:pPr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FC07A3" w:rsidRDefault="00BA6FFC">
      <w:pPr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«___»_______2026</w:t>
      </w:r>
    </w:p>
    <w:p w:rsidR="00FC07A3" w:rsidRDefault="00BA6FFC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7A3" w:rsidRDefault="00BA6FFC">
      <w:pPr>
        <w:tabs>
          <w:tab w:val="left" w:pos="708"/>
          <w:tab w:val="center" w:pos="4677"/>
          <w:tab w:val="right" w:pos="9355"/>
        </w:tabs>
        <w:spacing w:after="0" w:line="240" w:lineRule="auto"/>
        <w:ind w:left="66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FC07A3" w:rsidRDefault="00BA6FFC">
      <w:pPr>
        <w:spacing w:after="0" w:line="240" w:lineRule="auto"/>
        <w:ind w:left="66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Думы </w:t>
      </w:r>
    </w:p>
    <w:p w:rsidR="00FC07A3" w:rsidRDefault="00BA6FFC">
      <w:pPr>
        <w:spacing w:after="0" w:line="240" w:lineRule="auto"/>
        <w:ind w:left="66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города Мегиона</w:t>
      </w:r>
    </w:p>
    <w:p w:rsidR="00FC07A3" w:rsidRDefault="00BA6FFC">
      <w:pPr>
        <w:spacing w:after="0" w:line="240" w:lineRule="auto"/>
        <w:ind w:left="6242" w:firstLine="4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«__»______2026 № _____</w:t>
      </w:r>
    </w:p>
    <w:p w:rsidR="00FC07A3" w:rsidRDefault="00FC07A3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7A3" w:rsidRDefault="00BA6F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FC07A3" w:rsidRDefault="00BA6FF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деятельности Контрольно-счетной палаты города Мегиона за 2025 год </w:t>
      </w:r>
    </w:p>
    <w:p w:rsidR="00FC07A3" w:rsidRDefault="00FC07A3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отчет о деятельности Контрольно-счетной палаты города Мегиона за 2025 год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подготовлен на основании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раздела 20 Положения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Контрольно-счетной палате города Мегиона, утвержденного решением Думы города Мегиона от 27.01.2012 № 222 (с изменениями) (далее – Положение о Контрольно-счетной палате).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пункту 1 раздела 1 Положения о Контрольно-счетной палате 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онтрольно-счетный орган муниципального образования - Контрольно-счетная палата города Мегиона (далее - Контрольно-счетная палата) является постоянно действующим органом внешнего муниципального финансового контроля, образуемым Думой города Мегиона (далее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Дума города) и подотчетным ей.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Компетенция и порядок деятельности Контрольно-счетной палаты определены Бюджетным кодексом Российской Федерации (далее - БК РФ), Федеральным законом от 07.02.2011 № 6-ФЗ «Об общих принципах организации и деятельности контроль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но-счетных органов субъектов Российской Федерации, федеральных территорий и муниципальных образований»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(далее - Федеральный закон № 6-ФЗ), Уставом города Мегиона, Положением о Контрольно-счетной палате, Регламентом Контрольно-счетной палаты, Положением об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отдельных вопросах организации и осуществления бюджетного процесса в городском округе Мегион, иными федеральными и региональными законами, нормативно-правовыми актами города Мегиона.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Муниципальный финансовый контроль является одним из средств реализации 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сударственной политики и инструментом государства, обеспечивающим повышение эффективности использования бюджетных средств и муниципальных ресурсов в целом, и, как следствие, стабильность социально-экономического развития. 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Полномочия Контрольно-счетной пал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ости, результативности (эффективности и экономности) и целевого использования средств местного бюджета участниками бюджетного процесса в городе Мегионе, соблюдения ими правил ведения бюджетного учета и отчетности, осуществления аудита в сфере закупок и осу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ществления производства по делам об административных правонарушениях в сфере бюджетного законодательства.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Деятельность Контрольно-счетной палаты строится на основе годового плана, формируемого по поручениям Думы Ханты-Мансийского автономного округа - Югры,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Думы города Мегиона, предложений Губернатора Ханты-Мансийского автономного округа - Югры, главы города Мегиона.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со статьей 10 Федерального закона № 6-ФЗ, разделом 9 Положения о Контрольно-счетной палате внешний муниципальный финансовый конт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роль осуществляется в форме контрольных и экспертно-аналитических мероприятий.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Основные задачи Контрольно-счетной палаты в отчетном периоде заключались в контроле за исполнением местного бюджета, соблюдением установленного порядка подготовки и рассмотрения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 соответствии с Федеральным законом № 6-ФЗ и Положением о Контрольно-счетной палате 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довой план деятельности в обязательном порядке предусматривает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на плановый период.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настоящем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отчете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представлена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сводная информация о реализованных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ru-RU"/>
        </w:rPr>
        <w:t>2025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 контрольных и экспертно-аналитических мероприятиях, а также об иной деятельности, осуществляемой Контрольно-счетной палатой.</w:t>
      </w:r>
    </w:p>
    <w:p w:rsidR="00FC07A3" w:rsidRDefault="00BA6FFC">
      <w:pPr>
        <w:numPr>
          <w:ilvl w:val="0"/>
          <w:numId w:val="14"/>
        </w:num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Общие показатели о деятельности Контрольно-счетной палаты города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Мегиона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Контрольно-счетной палатой в 2025 году проведено: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1) 8 контрольных мероприятий, в том числе внешняя проверка бюджета города Мегиона и 2 экспертно-аналитических мероприятий (за исключением экспертиз проектов законодательных и иных нормативных право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вых актов);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2) 117 экспертно-аналитических мероприятий на проекты муниципальных правовых актов (новые муниципальные программы, изменения в муниципальные программы, изменения в муниципальные правовые акты, касающиеся управления и распоряжения муниципальным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жилищным фондом, положения по оплате труда и видах поощрений, порядки предоставления субсидий, проект решения о бюджете на 2026 год и плановый период 2027 и 2028 годов, 4 внесения изменений в бюджет города на 2025 год и другие).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Основные показатели, характеризующие деятельность Контрольно-счетной палаты за 2023 – 2025 годы, приведены в таблице 1.</w:t>
      </w:r>
    </w:p>
    <w:p w:rsidR="00FC07A3" w:rsidRDefault="00BA6FF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Таблица 1</w:t>
      </w:r>
    </w:p>
    <w:tbl>
      <w:tblPr>
        <w:tblW w:w="2841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254"/>
        <w:gridCol w:w="1435"/>
        <w:gridCol w:w="1965"/>
        <w:gridCol w:w="1276"/>
        <w:gridCol w:w="9437"/>
        <w:gridCol w:w="9345"/>
      </w:tblGrid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Штатная численность, утверждённая/факт,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6/6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Кол-во специалистов, участвующих в проведении контрольных и экспертно-аналитических мероприятий,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FC07A3"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3. Контроль формирования и исполнения бюджета города Мегиона</w:t>
            </w:r>
          </w:p>
        </w:tc>
        <w:tc>
          <w:tcPr>
            <w:tcW w:w="9437" w:type="dxa"/>
          </w:tcPr>
          <w:p w:rsidR="00FC07A3" w:rsidRDefault="00FC07A3">
            <w:pPr>
              <w:spacing w:after="16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9345" w:type="dxa"/>
            <w:vAlign w:val="center"/>
          </w:tcPr>
          <w:p w:rsidR="00FC07A3" w:rsidRDefault="00FC07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Внешняя проверка годового отчёта об исполнении бюджета,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(за 2022 год)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(за 2023 год)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(за 2024 год)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Объём средств, охваченных внешней проверкой годового отчёта об исполнении бюджета, тыс. рублей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5 931 893,6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7 403 290,7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6 752 913,5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Экспертиза изменений и дополнений в бюджет города на текущий (отчётный) год,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(за 2023)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(за 2024)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(2025)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Объём средств, охваченных в рамках экспертизы изменений и дополнений в бюджет города на текущий (отчётный) год, тыс. рублей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1 018 591,0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1 195 134,3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1 230 508,1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Экспертиза проекта бюджета города на очередной год,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(на 2024 год)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(на 2025 год)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(на 2026)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Объём средств, охваченных в рамках экспертизы проекта бюджета города на очередной год, тыс. рублей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5 702 473,9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7 330 920,2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7 439 610,5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Экспертиза отчетов об исполнении бюджета города за текущий (отчётный) год,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(1квартал,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полугодие, 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 месяцев)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(1квартал,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полугодие, 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 месяцев)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(1квартал,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 полугодие, 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 месяцев)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Объём средств, охваченных в рамках экспертизы  отчётов об исполнении бюджета города за текущий (отчётный) год, тыс. рублей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1 335 674,2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3 623 021,6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5 408 280,4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1 393 788,1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3 160 097,9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4 421 870,3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1 455 397,3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3 685 432,8</w:t>
            </w:r>
          </w:p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5 690 738,3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4.Контрольная деятельность</w:t>
            </w:r>
          </w:p>
        </w:tc>
      </w:tr>
      <w:tr w:rsidR="00FC07A3">
        <w:trPr>
          <w:gridAfter w:val="2"/>
          <w:wAfter w:w="18782" w:type="dxa"/>
          <w:trHeight w:val="9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Проведено контрольных и экспертно-аналитических мероприятий (за исключением экспертиз проектов законодательных и иных нормативных правовых актов),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Объём проверенных средств (без учета внешней проверки бюджета), тыс. рублей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437 347,05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477 044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3 381 491,43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в том числе местный бюджет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305 741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344 929,29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3 309 071,23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Выявлено нарушений и недостатков, имеющих стоимостную оценку, тыс. рублей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40 022,68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117 669,99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523 442,18</w:t>
            </w:r>
          </w:p>
        </w:tc>
      </w:tr>
      <w:tr w:rsidR="00FC07A3">
        <w:trPr>
          <w:gridAfter w:val="2"/>
          <w:wAfter w:w="18782" w:type="dxa"/>
          <w:trHeight w:val="23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не могут быть устранены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39 958,64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117 375,00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513 123,35</w:t>
            </w:r>
          </w:p>
        </w:tc>
      </w:tr>
      <w:tr w:rsidR="00FC07A3">
        <w:trPr>
          <w:gridAfter w:val="2"/>
          <w:wAfter w:w="18782" w:type="dxa"/>
          <w:trHeight w:val="23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подлежащие устранению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294,99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10 318,83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4.3.3</w:t>
            </w:r>
          </w:p>
        </w:tc>
        <w:tc>
          <w:tcPr>
            <w:tcW w:w="42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Из общей суммы  выявлено нарушений порядка учета, управления и распоряжения имуществом, находящимся в муниципальной собственности, тыс. рублей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276,30</w:t>
            </w:r>
          </w:p>
        </w:tc>
        <w:tc>
          <w:tcPr>
            <w:tcW w:w="196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3 977,89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325 662,83</w:t>
            </w:r>
          </w:p>
        </w:tc>
      </w:tr>
      <w:tr w:rsidR="00FC07A3">
        <w:trPr>
          <w:gridAfter w:val="2"/>
          <w:wAfter w:w="18782" w:type="dxa"/>
          <w:trHeight w:val="5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Устранено финансовых нарушений, тыс. рублей, в том числе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39 958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117 669,99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513 269,41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путем принятия к сведению, внесения изменений в нормативно правовые акты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39 919,52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117 653,35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197 487,72</w:t>
            </w:r>
          </w:p>
        </w:tc>
      </w:tr>
      <w:tr w:rsidR="00FC07A3">
        <w:trPr>
          <w:gridAfter w:val="2"/>
          <w:wAfter w:w="18782" w:type="dxa"/>
          <w:trHeight w:val="23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4.4.2.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возмещено средств в бюджет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39,12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Из общей суммы устранено нарушений установленного порядка управления и распоряжения муниципальным имуществом, тыс. рублей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276,30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3 977,89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315 781,69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Составлено актов по результатам контрольных мероприятий,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заключений по результатам экспертно-аналитических мероприятий,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Охвачено контрольными мероприятиями объектов,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направленных представлений/предписаний,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11/0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7/0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42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Подготовлено предложений по результатам контрольных мероприятий по устранению нарушений, не имеющих суммового выражения (ед.), из них: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6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Устранено нарушений, не имеющих суммовое выражение,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712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Подготовлено актов осмотров в ходе проведения контрольных мероприятий,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Привлечено к дисциплинарной ответственности по результатам контрольных мероприятий,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Привлечено к уголовной ответственности по результатам контрольных мероприятий,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Привлечено к административной ответственности, чел.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5.Экспертно-аналитическая деятельность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Проведено экспертно-аналитических мероприятий, ед.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Подготовлено предложений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Принято предложений</w:t>
            </w: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Отношение принятых предложений относительно подготовленных</w:t>
            </w:r>
          </w:p>
          <w:p w:rsidR="00FC07A3" w:rsidRDefault="00FC07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1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97%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85%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6.Методическая работа, гласность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утвержденных и используемых методических материалов  (стандарты, методические рекомендации),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</w:tr>
      <w:tr w:rsidR="00FC07A3">
        <w:trPr>
          <w:gridAfter w:val="2"/>
          <w:wAfter w:w="18782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информационных материалов  о деятельности контрольно-счетной палаты  размещено в средствах массовой информации, ед.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124</w:t>
            </w:r>
          </w:p>
        </w:tc>
      </w:tr>
    </w:tbl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объем проверенных средств влияет объект контрольного мероприятия, так как каждый год в план работы включаются разные объекты с различным объемом финансирования, а также проводятся мероприятия, включающие в себя анализ использования объектов мун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иципальной собственности.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Структура выявленных в 2025 году нарушений и недостатков представлена в таблице 2.</w:t>
      </w:r>
    </w:p>
    <w:p w:rsidR="00FC07A3" w:rsidRDefault="00BA6FFC">
      <w:pPr>
        <w:shd w:val="clear" w:color="auto" w:fill="FFFFFF"/>
        <w:spacing w:after="0" w:line="240" w:lineRule="auto"/>
        <w:ind w:firstLine="708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Таблица 2</w:t>
      </w:r>
    </w:p>
    <w:tbl>
      <w:tblPr>
        <w:tblW w:w="500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233"/>
        <w:gridCol w:w="1187"/>
        <w:gridCol w:w="735"/>
      </w:tblGrid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нарушения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Сумма (тыс. руб.)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Финансовые нарушения и недостатки, в том числе: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197 779,35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137,47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0,07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533,82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0,27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185 742,77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93,92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Нарушения учёта и отчётности (нарушения бухгалтерского учета)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505,85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0,26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Расходы, осуществленные в нарушение законодательства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6 928,43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3,51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Финансовая оценка иных нарушений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3 931,01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1,99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Нарушения в сфере учёта, управления и распоряжения имуществом, из них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325 662,83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3..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 возможности устранения: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197 779,35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</w:tr>
      <w:tr w:rsidR="00FC07A3">
        <w:trPr>
          <w:trHeight w:val="230"/>
          <w:jc w:val="center"/>
        </w:trPr>
        <w:tc>
          <w:tcPr>
            <w:tcW w:w="645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232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Нарушения, которые не могут быть устранены, принятие к сведению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187 460,52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94,79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Нарушения, подлежащие устранению, 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10 318,83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5,21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нарушения, по которым возможно возмещение в бюджет города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Устранено, принято к сведению  нарушений и недостатков, из них: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197 487,72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устранено финансовых нарушений и недостатков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  <w:t>, из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437,69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0,23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приняты к сведению выявленные нарушения и недостатки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197 050,03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99,77</w:t>
            </w:r>
          </w:p>
        </w:tc>
      </w:tr>
      <w:tr w:rsidR="00FC07A3">
        <w:trPr>
          <w:cantSplit/>
          <w:jc w:val="center"/>
        </w:trPr>
        <w:tc>
          <w:tcPr>
            <w:tcW w:w="645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32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Устранено нарушений в сфере учёта, управления и распоряжения имуществом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315 781,69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C07A3" w:rsidRDefault="00BA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96,97</w:t>
            </w:r>
          </w:p>
        </w:tc>
      </w:tr>
    </w:tbl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финансовых нарушений и недостатков, выявленных по результатам контрольных и экспертно-аналитических мероприятий 2025 года, составил 197</w:t>
      </w:r>
      <w:r w:rsidRPr="00BA6F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779,35 тыс. рублей. Объем нарушений в сфере учета, управления и распоряжения имуществом выявлено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общую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сумму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325 662,83 тыс. рублей. 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Более подробная информация по выявленным нарушениям и недостаткам в ходе проведения контрольных мероприятий отражена в разделе 2 настоящего отчета.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 общей суммы финансовых нарушений и недостатков, выявленных в 2025 году: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ния, которые не могут быть устранены (в основном нарушения бухгалтерского учета по закрытым отчетным периодам, неэффективное использование бюджетных средств, нарушения требований законодательства), составили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187 460,52 тыс. рублей;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нарушения, подлежащие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устранению, составили 10 318,83 тыс. рублей.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2025 году принято к сведению нарушений и недостатков на сумму 197 050,03 тыс. рублей, устранено на сумму 437,69 тыс. рублей.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Устранено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нарушений в сфере учета, управления и распоряжения имуществом в сумме 315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781,69 тыс. рублей.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со статьей 268.1 БК РФ в 2025 году Контрольно-счетной палатой объектам проверки направлено 7 представлений для принятия мер по устранению выявленных нарушений, причин и условий, способствующих их совершению, из которых по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состоянию на окончание отчетного года снято с контроля 6 представл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ений.</w:t>
      </w:r>
    </w:p>
    <w:p w:rsidR="00FC07A3" w:rsidRDefault="00BA6FFC">
      <w:pPr>
        <w:numPr>
          <w:ilvl w:val="0"/>
          <w:numId w:val="14"/>
        </w:numPr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Итоги контрольной деятельности</w:t>
      </w:r>
      <w:r>
        <w:rPr>
          <w:color w:val="000000" w:themeColor="text1"/>
          <w:sz w:val="24"/>
          <w:szCs w:val="24"/>
        </w:rPr>
        <w:t xml:space="preserve"> 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целях общей оценки нарушений и недостатков в настоящем разделе приведены данные по результатам контрольных и экспертно-аналитических мероприятий (за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исключением экспертиз проектов законодательных и иных нормативных правовых актов), в ходе проведения которых установлены нарушения, имеющие как стоимостную оценку, так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другие виды нарушений. В части финансовых нарушений имеются устранимые и неустранимые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нарушения. 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предложениям Контрольно-счетной палаты при осуществлении контрольной деятельности, урегулировано и приведено в соответствие с действующим законодательством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18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нормативных правовых и локальных актов (внесены изменения или вновь приняты).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отчетном году Контрольно-счетной палатой проведены следующие мероприятия: </w:t>
      </w:r>
    </w:p>
    <w:p w:rsidR="00FC07A3" w:rsidRDefault="00BA6FFC">
      <w:pPr>
        <w:shd w:val="clear" w:color="auto" w:fill="FFFFFF"/>
        <w:spacing w:before="119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Контрольное мероприятие «Проверка реализации муниципальной программы «Развитие гражданского общества на территории города Мегиона»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Объектами проверки являлись: администрация 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6 977,0 тыс. рублей, в том числе местный бюджет – 6 977,0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Установлено финансовых нарушений и недостатков всего – 2 случая на общую сумму 1 491,3 тыс. рублей. из них: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финансовая оценка иных нарушений – 1 491,3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– 36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Установлены нарушения требований статьи 31.1. Федерального закона от 12.01.1996 № 7-ФЗ «О некоммерческих организациях»: 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тсутствие нормативного акта представительного органа, утверждающего дополнительные виды деятельности, для признания некоммерческой организации социально ориентированной;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Установлены 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рушения и недостатки нормативно-правовых актов администрации города, уст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анавливающих порядки предоставления субсидий и грантов некоммерческим организациям: отсутствие нормы о принятии решения о проведении отбора получателей гранта в форме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субсидии, содержащее условия проведения данного отбора; отсутствие способов предоставлени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 субсидии: финансовое обеспечение затрат либо возмещение недополученных доходов и (или) возмещение затрат, отсутствие обязательных условий о направлении расходов, источником финансового обеспечения которых является субсидия, отсутствие условий о максималь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 возможном размере субсидии.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Установлено нарушение сроков проведения отбора конкурсных заявок для предоставления гранта в форме субсидии из бюджета.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Установлены случаи несоответствия фактического использования средств гранта заявленным направлениям расхо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отношении всех размещенных извещений о проведении конкурсного отбора невозможно установить дату размещения информации, отсутствовала информация об объеме распределяемой субсидии в рамках конкурса, порядок расчета размера субсидии, установленный прав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овым актом, правила распределения субсидии по результатам конкурса, а также предельное количество победителей конкурса (в 4 из 5 извещениях в сфере культуры), отсутствовала информация о достижимых результатах, а также отсутствовала информация об объеме рас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пределяемой субсидии в рамках конкурса, порядок расчета размера субсидии, установленный правовым актом, правила распределения субсидии по результатам конкурса, а также предельное количество победителей конкурса (в 13 из 13 в сфере физической культуры и спо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рта).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отчетах о фактическом использовании субсидии отсутствовала информация (документы), подтверждающая проведение мероприятий силами некоммерческих организаций (фотоматериалы, ссылки на информационные ресурсы).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контрольного мероприятия 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дминистрации города было направлено представление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 сроки, установленные статьей 16 Федерального закона № 6-ФЗ объектом контроля представлена информация о принятии к свед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ению и недопущению в дальнейшем выявленных нарушений.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Решением Думы города Мегиона от 25.04.2025 № 454 установлены дополнительные виды деятельности некоммерческих организаций в целях признания их социально ориентированными некоммерческими организациями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оказания им поддержки.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Постановление администрации города от 22.10.2025 № 1659 внесены изменения в постановление администрации города от 31.05.2021 № 1257 «Об утверждении порядка предоставления субсидии из бюджета города Мегиона негосударственным социально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ориентированным некоммерческим организациям (за исключением субсидий муниципальным учреждениям)».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 Контрольное мероприятие «Проверка деятельности муниципального автономного дошкольного образовательного учреждения № 15 «Югорка» в части контроля за эффе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ктивным использованием средств на закупку товаров, работ, услуг отдельными видами юридических лиц, законности и правильности начисления и выплаты заработной платы работникам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Объектами проверки являлись: Муниципальное автономное дошкольное образовательное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учреждение № 15 «Югорка»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</w:t>
      </w:r>
      <w:r>
        <w:rPr>
          <w:rFonts w:ascii="Times New Roman" w:hAnsi="Times New Roman"/>
          <w:color w:val="000000" w:themeColor="text1"/>
          <w:sz w:val="24"/>
          <w:szCs w:val="24"/>
        </w:rPr>
        <w:t>МАДОУ № 15 «Югорка»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92 229,24 тыс. рублей, в том числе местный бюджет – 20 267,26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Установлено финансовых нарушений и недостатков всего 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24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случая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общую сумму 4 628,47 тыс. рублей, из них: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нецелевое использование бюджетных средств – 1 случай на сумму 38,45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неэффективное использование бюджетных средств – 5 случаев на сумму 519,82 тыс. рублей; 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расходы, осуществленные в нарушени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законодательства – 6 случаев на сумму 137,07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нарушения бухгалтерского учета, составления и представления бухгалтерской (финансовой) отчетности – 2 случая на сумму 505,85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нарушения при осуществлении муниципальных закупок и закупок отдельными видами юридических лиц – 9 случаев на сумму 1 067,93,0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финансовая оценка иных нарушений - 1 случай на сумму 2 359,35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щих стоимостную оценку – 7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проведенного контрольного мероприятия установлено нарушение порядка установления и выплаты стимулирующей выплаты за интенсивность и высокие результаты работы, порядка установления  и выплаты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единовременной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(разовой) стимулирующей выплаты за особые достижения при выполнении услуг (работ).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проверяемом периоде установлен случай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отсутствия начисления выпл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ат, направленных на достижение установленного показателя средней заработной платы.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Допущено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несоблюдение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порядка применения классификации операций сектора государственного управления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(КОСГУ) и нецелевое использование субсидии на финансирование выполнения муниципального задания в части выплаты выходного пособия уволенным работникам.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Допущено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неправомерное отнесение расходов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оплату труда работников по таким должностям как уборщик служебных помещений, уборщик территории за счет субсидии на финансовое обеспечение выполнения муниц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ипального задания из средств местного бюджета.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Установлено наруше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ние заполнения форм статистической отчетности.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Целевой показатель по среднемесячно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й заработной плате отдельных категорий педагогических работников муниципальных организаций на 2024 год не достигнут.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Style w:val="15"/>
          <w:rFonts w:ascii="Times New Roman" w:eastAsia="Times New Roman" w:hAnsi="Times New Roman"/>
          <w:b w:val="0"/>
          <w:color w:val="000000" w:themeColor="text1"/>
          <w:sz w:val="24"/>
          <w:szCs w:val="24"/>
        </w:rPr>
        <w:t>Устано</w:t>
      </w:r>
      <w:r>
        <w:rPr>
          <w:rStyle w:val="15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</w:rPr>
        <w:t>влено превышение фонда оплаты труда работников адм</w:t>
      </w:r>
      <w:r>
        <w:rPr>
          <w:rStyle w:val="15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</w:rPr>
        <w:t>инистративно-управленческого и вспомогательного персонала на 3,5%.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Style w:val="15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</w:rPr>
        <w:lastRenderedPageBreak/>
        <w:t>При проверке эффективного использования средств на закупку товаров, работ, услуг отдельными видами юридических лиц за счет субсидии на финансовое обеспечение выполнения муниципального задан</w:t>
      </w:r>
      <w:r>
        <w:rPr>
          <w:rStyle w:val="15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</w:rPr>
        <w:t>ия и субсидии на иные цели</w:t>
      </w:r>
      <w:r>
        <w:rPr>
          <w:rStyle w:val="15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установлено нарушение в части отсутствия размещенного п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лана закупки инновационной продукции, высокотехнологичной продукции, лекарственных средств, другие нарушения в части размещения информации на официальном сайте Единой информа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ционной системы в сфере закупок.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Установлены нарушения порядка формирования начальной максимальной цены договора.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/>
          <w:color w:val="000000" w:themeColor="text1"/>
          <w:sz w:val="24"/>
          <w:szCs w:val="24"/>
        </w:rPr>
        <w:t>МАДОУ № 15 «Югорка»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было направлено представление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 6-ФЗ объектом контроля представлена информация о принятии к сведению и недопущению в дальнейшем выявленных наруше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ний.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Приказом МАДОУ №15 «Югорка» от 19.05.2025 № 160-О утверждены критерии оценки размера стимулирующей выплаты сотрудникам за интенсивность и высокие результаты работы.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 Контрольное мероприятие «Проверка законности и эффективности использования бюдже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тных средств, направленных на обеспечение деятельности муниципального казенного учреждения «Служба обеспечения», а также соблюдение порядка управления и распоряжения муниципальным имуществом, с элементами аудита в сфере закупок».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Объектом проверки являлос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 муниципальное казенное учреждение «Служба обеспечения» (далее - МКУ «СО»).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169 337,4 тыс. рублей, в том числе местный бюджет – 169 337,4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Сумма финансовых нарушений и недостатков всего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10 172,77 тыс. рублей, из них: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неэффективное использование бюджетных средств – 1 случай на сумму 14,0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нарушения в сфере управления и распоряжения муниципальной собственностью - 1 случай на сумму 9 881,14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нарушения при осуществлении муниципальных закупок и закупок отдельными видами юридических лиц – 7 случаев на сумму 277,63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– 3 случая.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Контрольным мероприятием установлено несоответ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ствие вида экономической деятельности,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указанном в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Едином государственном реестре юридических лиц, виду деятельности соответствующему основной цели создания МКУ «СО».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Установлены недостатки действующего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Порядка материально-технического и организационного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обеспечения деятельности органов местного самоуправления города Мегиона, утвержденного решением Думы города Мегиона от 31.10.2014 № 452,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постановления администрации города от 23.11.2012 № 2651 «О материально-техническом и организационном обеспечении админ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истрации города».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Неэффективное использование бюджетных средств 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ыразилось в осуществлении расходов без проведения конкурентного отбора исполнителя услуг.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Выявлены нарушения в части учета земельных участков.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проверке деятельности Учреждения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 указано на несоответствие требований утвержденных должностных инструкций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профессиональному стандарту «Специалист в сфере закупок».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Утвержденные нормативные затраты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 обеспечение функций органов местного самоуправления города Мегиона содержит не все категории муниципальных должностей.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Обращено внимание на необходимость принятия единого порядка установления норм представительских расходов в органах местного самоуправле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ния.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Рекомендовано ведение документооборота запросов о предоставлении ценовой информации к полученным коммерческим предложениям.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Установлены нарушения в порядке формирования начальной (максимальной) цены контракта.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МКУ «СО» было направлено представление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 6-ФЗ объектом контроля представлена информация о принятии к сведению и 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допущению в дальнейшем выявленных нарушений.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 Контрольное мероприятие «Проверка управления и распоряжения муниципальной собственностью, закрепленной на праве хозяйственного ведения за муниципальным унитарным предприятием «Тепловодоканал»». 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проверки являлось муниципальное унитарное предприятие «Тепловодоканал».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2023, 2024 годы.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2 521 755,53 тыс. рублей, в том числе средства местного бюджета – 2 521 755,53 тыс. рублей.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Сумма финансовых нарушени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 и недостатков – 315 593,85 тыс. рублей, в том числе: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нарушения в сфере управления и распоряжения муниципальной собственностью – 133 случаев на сумму 315 593,85 тыс. рублей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– 23 случая.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рольным мероприятием установлено неисполнение решения Думы города Мегиона от 23.09.2022 № 220 «Об установлении размера отчислений в бюджет города Мегиона части прибыли муниципальных унитарных предприятий, остающейся после уплаты налогов и иных обязательных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платежей на 2023 год и на плановый период 2024 и 2025 годов» решения Думы города Мегиона от 22.09.2023 № 306 «Об установлении размера отчислений в бюджет города Мегиона части прибыли муниципального унитарного предприятия, остающейся после уплаты налогов 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иных обязательных платежей на 2024 год и плановый период 2025 и 2026 годов».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Установлено нарушение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исч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исления и уплаты в бюджет города Мегиона части прибыли муниципальных унитарных предприятий за использование муниципального имущества, находящегося в хозяйственном ведении, утвержденного решением Думы города Мегиона от 22.06.2021 № 84.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Установлены нарушения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порядка проведения инвентаризации имущества и финансовых обязательств.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Установлены нарушения в части принятия к учету объектов основных средств, переданных на праве хозяйственного ведения, в части оформления прав на земельные участки.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Установлены случаи нарушения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Порядка списания муниципального имущества, находящегося в собственности города Мегиона, утвержденного постановлением администрации города Мегиона от 29.10.2020 № 2118.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Установлены случаи крупных сделок без согласования с админи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страцией города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в адрес объекта контроля направлено представления для принятия мер по устранению выявленных бюджетных и иных нарушений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и недостатков, предотвращению нанесения материального ущерба муниципальн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6-ФЗ объектами контроля представлена информация о принятии к сведению и недопущению в дальнейшем выявленных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2.5. Контрольное мероприятие «Проверка деятельности муниципального автономного учреждения дополнительного образования «Спортивная школа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«Юность» в части контроля за эффективным использованием средств на закупку товаров, работ, услуг отдельными видами юридических лиц, законности и правильности начисления и выплаты заработной платы работникам».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Объектом проверки являлось муниципальное автон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омное учреждение дополнительного образования «Спортивная школа «Юность».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2023, 2024 годы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253 403,46 тыс. рублей, в том числе местный бюджет – 252 945,24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Сумма финансовых нарушений и недостатков 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9 431,03 тыс. рублей, в том числе: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нецелевое использование бюджетных средств – 1 случай на сумму 99,02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нарушения в сфере управления и распоряжения муниципальной собственностью - 2 случая на сумму 187,84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расходы, осуществлен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ные в нарушение законодательства - 4 случая на сумму 6 791,36 тыс. рублей;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нарушения при осуществлении муниципальных закупок и закупок отдельными видами юридических лиц - 8 случаев на сумму 2 352,81 тыс.рублей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– 455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установлено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отсутствие утвержденных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Учредителем Натуральных норм для определения базового норматива затрат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 оказание муниципальных услуг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в связи с чем установить эффективное использование средств субсидии на финансовое обеспечение выполнения муниципального задания Учреждением не представилось возможным.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 проверке правильности начисления заработной платы установлены выплаты не предусмот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ренные нормативными документами об установлении системы оплаты труда, неправомерное начисление стимулирующих выплат, неправомерное установление должностных окладов, неправомерный выбор источника финансирования выплаты заработной платы, применение ставок, 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 утвержденных штатным расписанием, неправомерная выплата коэффициента специфики работы, другие нарушения начисления заработной платы.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Установлено недостижение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целевого показателя соотношения среднего уровня заработной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платы работников Учреждения и средней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заработной платы в Ханты-Мансийском автономном округе-Югре.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роверке использования средств на закупку товаров, работ, услуг отдельными видами юридических лиц за счет субсидии на финансовое обеспечение выполнения муниципального задания и субсидии на ин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ые цели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установлены нарушения 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Положения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закупке, утвержден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ного  Постановлением Правительства Российской Федерации от 10.09.2012 № 908, многочисленные нарушения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Положений о закупках МАУ ДО «СШ «Юность».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контрольного мероприятия в адрес объектов контроля направлены представления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должностных лиц, виновных в до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 6-ФЗ объектом контроля представлена информация о принятии к сведению и недопущению в дальнейшем выявленных наруше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ний.</w:t>
      </w:r>
    </w:p>
    <w:p w:rsidR="00FC07A3" w:rsidRDefault="00FC07A3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2.6. Контрольное мероприятие «Проверка деятельности администрации города Мегиона по управлению и распоряжению земельными ресурсами города Мегиона».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Объектом проверки являлась администрация города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период: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149 061,1 тыс. рублей, в том числе местный бюджет – 149 061,1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Сумма финансовых нарушений и недостатков в сфере управления и распоряжения муниципальной собственностью 78,56 тыс. рублей, выразившаяся в потерях бюджета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-99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ходе контрольного мероприятия установлены недостатки действующих административных регламентов, а также нарушения в их использовании при предоставлении муниципальных услуг.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новлено отсутствие разработанного и утвержденного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административного регламента определяющий стандарт, сроки и последовательность действий (административных процедур) при оказании муниципальной услуги по предоставлению земельных участков в собственность без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 торгов в случаях, указанных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ru-RU"/>
        </w:rPr>
        <w:t>в пункте 1 статьи 39.18 ЗК РФ.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Установлены нарушения в расчетах начислений пени за несвоевременную оплату начисленных платежей, установлен случай недоначисления сумм арендной платы.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контрольного мероприятия в адр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 объекта контроля направлено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 6-ФЗ объектами контроля представлена информация о принятии к сведению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недопущению в дальнейшем выявленных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2.7. Проверка законности и эффективности использования бюджетных средств, направленных на реализацию подпрограммы 2 «Содержание и текущий ремонт автомобильных дорог, проездов, элементов обустройства улично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-дорожной сети, объектов внешнего благоустройства города Мегиона» муниципальной программы «Развитие транспортной системы города Мегиона».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Объектом проверки являлось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муниципальное казенное учреждение «Управление капитального строительства»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Проверяемый перио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д: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проверенных средств – 188 727,7 тыс. рублей, в том числе местный бюджет – 188 727,7 тыс. рублей.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Сумма финансовых нарушений и недостатков в сфере осуществлении муниципальных закупок и закупок отдельными видами юридических лиц 182 044,4 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ыс. рублей (3 случая).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нарушений, не имеющих стоимостную оценку - 38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ходе контрольного мероприятия установлено, что п</w:t>
      </w:r>
      <w:r>
        <w:rPr>
          <w:rFonts w:ascii="Times New Roman" w:hAnsi="Times New Roman"/>
          <w:color w:val="000000" w:themeColor="text1"/>
          <w:sz w:val="24"/>
          <w:szCs w:val="24"/>
        </w:rPr>
        <w:t>ри планировании финансовых затрат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местного бюджета на 2024 год 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 ремонт и содержание автомобильных дорог местного значения не применялись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</w:t>
      </w:r>
      <w:r>
        <w:rPr>
          <w:rFonts w:ascii="Times New Roman" w:hAnsi="Times New Roman"/>
          <w:color w:val="000000" w:themeColor="text1"/>
          <w:sz w:val="24"/>
          <w:szCs w:val="24"/>
        </w:rPr>
        <w:t>, установленные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города Мегиона от 15.06.2017 № 1118,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планировании </w:t>
      </w:r>
      <w:r>
        <w:rPr>
          <w:rFonts w:ascii="Times New Roman" w:hAnsi="Times New Roman"/>
          <w:color w:val="000000" w:themeColor="text1"/>
          <w:sz w:val="24"/>
          <w:szCs w:val="24"/>
        </w:rPr>
        <w:t>финансовых затрат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местного бюджета на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ремонт и содержание автомобильных дорог местного значения оценка транспортно-эксплуатационного состояния автомобильных дорог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не проводи</w:t>
      </w:r>
      <w:r>
        <w:rPr>
          <w:rFonts w:ascii="Times New Roman" w:hAnsi="Times New Roman"/>
          <w:color w:val="000000" w:themeColor="text1"/>
          <w:sz w:val="24"/>
          <w:szCs w:val="24"/>
        </w:rPr>
        <w:t>лась.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 проверке правильности проведения конкурсных процедур при заключении муниципальных контрактов установлено неправомерное применение несоответствующего </w:t>
      </w: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>общероссийский классификатор продукции по видам экономической деятельности.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обоснования начал</w:t>
      </w:r>
      <w:r>
        <w:rPr>
          <w:rFonts w:ascii="Times New Roman" w:hAnsi="Times New Roman"/>
          <w:color w:val="000000" w:themeColor="text1"/>
          <w:sz w:val="24"/>
          <w:szCs w:val="24"/>
        </w:rPr>
        <w:t>ьной (максимальной) цены муниципальных контрактов, заключенных в форме электронных аукционов использованы коммерческие предложения, полученные по запросу Учреждения от лиц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имеющих связь,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при которой у них есть инструменты влияния на деятельность друг друга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 xml:space="preserve">. </w:t>
      </w:r>
    </w:p>
    <w:p w:rsidR="00FC07A3" w:rsidRDefault="00BA6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ходе проведения анализа организации и определения Учреждением объемов процесса реализации содержания и текущего ремонта автомобильных дорог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установлено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допущение случаев нарушения сроков подписания документов о приемке оказанных услуг, установленных муниципальными контрактами, установлены недостатки предоставленных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>фотоматериалов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выборочной фиксации процесс,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лучаи принятия работ в отсутствие ежедневного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предоставления подрядчиками информации о планируемых работах и объектах, фактически оказанных услугах с указанием видов услуг и объема услуг с расшифровкой по объектам,  предусмотренной техническим заданием, случаи принятия работ в отсутствие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в составе исп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олнительной документации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сертификатов  соответствия, паспортов подтверждающие соответствие основных средств и материалов, используемых подрядчиком, требованиям государственных стандартов,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лучаи принятия работ в отсутствие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в составе исполнительной документ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журнала производства, предусмотренных техническим заданием,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принятие работ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  <w:t>по устройству пешеходного тротуара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 использовании подрядчиком материалов б/у при условии, установленном техническим заданием муниципального контракта об использовании для проведения работ новых материалов,  ранее не использовавшимися. 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контрольного мероприятия в адрес об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ъекта контроля направлено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сроки, установленные статьей 16 Федерального закона № 6-ФЗ объектом контроля представлена информация о принятии к сведению и нед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опущению в дальнейшем выявленных нарушений.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2.8. По результатам контрольного мероприятия «Проверка деятельности муниципального автономного учреждения «Дворец искусств» в части соблюдения порядка управления и распоряжения муниципальным имуществом, законност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и результативности использования средств субсидий, полученных из бюджета города», проведенном в 2024 году, в 2025 году 2 должностных лица управления культуры администрации города привлечены к административной ответственности по статье 15.15.15. «Нарушени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 порядка формирования государственного (муниципального) задания» Кодекса Российской Федерации об административных правонарушениях.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2.9. Экспертно-аналитическое мероприятие «Анализ использования бюджетных средств, полученных муниципальным образованием гор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 Мегион на оплату труда работников образовательных организаций, в части выплат 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годы», установленных постановлением администрации города Мегиона от 21.12.2023 № 2161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«Об утверждении типового положения об установлении системы оплаты труда работников муниципальных образовательных организаций, подведомственных департаменту образования администрации города» (с изменениями)».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Экспертно-аналитическое мероприятие направлено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анализ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ормативных правовых актов и иных  документов, информации в части выплат 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 07.05.2012 № 597 «О мероприятиях по реализации государственной социальной политики» (далее – Указ Президента № 597), от 01.06.2012 № 761 «О национальной стратегии действий в интересах детей на 2012-2017 годы» (далее – Указ Президента № 761).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выявленных нарушений и недостатков - 27 случаев.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ходе экспертно-аналитического мероприятия установлено, что </w:t>
      </w:r>
      <w:r>
        <w:rPr>
          <w:rFonts w:ascii="Times New Roman" w:hAnsi="Times New Roman"/>
          <w:color w:val="000000" w:themeColor="text1"/>
          <w:sz w:val="24"/>
          <w:szCs w:val="24"/>
        </w:rPr>
        <w:t>обеспечение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достижения целевого показателя по средней заработной плате за счет увеличения учебной нагрузки педагогических работников.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Установлены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нарушение заполнения статистической отчетности по форме ЗП-образование. В отдельных общеобразовательных учреждениях установлено отсутствие порядков установления стимулирующих выплат.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результатов экспертно-аналитического мероприятия для устран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ения выявленных нарушений, замечаний и недопущения предложено принять ряд мер. Замечания приняты и устранены, соответствующие порядки приняты.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2.10. Экспертно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-аналитическое мероприятие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 документов стратегического планирования с целью оценки реализуем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образования».</w:t>
      </w:r>
    </w:p>
    <w:p w:rsidR="00FC07A3" w:rsidRDefault="00BA6FFC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Целью экспертно-аналитического мероприятия являлись а</w:t>
      </w:r>
      <w:r>
        <w:rPr>
          <w:rFonts w:ascii="Times New Roman" w:hAnsi="Times New Roman"/>
          <w:color w:val="000000" w:themeColor="text1"/>
          <w:sz w:val="24"/>
          <w:szCs w:val="24"/>
        </w:rPr>
        <w:t>нализ нормативных правовых актов и иных распорядительных документов, регламентирующих деятельность органов местного самоуправления в сфере стратегического планирования; о</w:t>
      </w:r>
      <w:r>
        <w:rPr>
          <w:rFonts w:ascii="Times New Roman" w:hAnsi="Times New Roman"/>
          <w:color w:val="000000" w:themeColor="text1"/>
          <w:sz w:val="24"/>
          <w:szCs w:val="24"/>
        </w:rPr>
        <w:t>ценка реализуемости, рисков и результатов достижения целей социально-экономического развития города Мегиона, предусмотренных документами стратегического планирования города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выявленных нарушений и недостатков - 24 случая.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ходе экспертн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аналитического мероприятия выявлены нарушения принципа сбалансированности системы стратегического планирования, который означает согласованность и сбалансированность документов стратегического планирования по приоритетам, целям, задачам, мероприятиям, по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казателям, финансовым и иным ресурсам и срокам реализации. Установлены недостатки и нарушения действующих нормативных документов, регламентируюших деятельность с сфере стратегического планирования города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результатов экспертно-аналитич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еского мероприятия для устранения выявленных нарушений, замечаний и недопущения предложено принять ряд мер. В настоящее время работа по приведению документов стратегического планирования в соответствие действующему законодательству не закончена.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2.11. Вне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шняя проверка бюджетной отчетности главных администраторов бюджетных средств за 2024 год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Контрольным мероприятием были охвачены 4 главных администратора бюджетных средств: администрация города Мегиона, департамент финансов администрации города Мегиона, деп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артамент образования администрации города Мегиона, Дума города Мегиона.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Финансовых нарушений и недостатков не установлено.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проведенной внешней проверки Отчета об исполнении бюджета городского округа Мегион Ханты-Мансийского автономного округа – Югры за 2024 год, в том числе внешней проверки бюджетной отчетности главных администраторов бюджетных средств установле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 следующее: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Отчет об исполнении бюджета города Мегиона за 2024 год представлен в срок, установленный БК РФ, разделом 8 Положения о бюджетном процессе.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Плановые показатели, указанные в консолидированной бюджетной отчетности об исполнении бюджета за 2024 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од, соответствуют показателям сводной бюджетной росписи бюджета города на 2024 год с учетом изменений, внесенных в ходе исполнения бюджета.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Бюджетная отчетность об исполнении консолидированного бюджета муниципального образования город Мегион за 2024 год со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ставлена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28.12.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2010 № 191н.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Отражение доходов, расходов, источников финансирования дефицита бюджета в Отчете об исполнении бюджета городского округа Мегион Ханты-Мансийского автономного округа - Югры за 2024 год выполнено в соответствии с консолидированной отчетностью об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исполнении бюджета, составленной на основании бюджетной отчетности главных администраторов бюджетных средств, что свидетельствует о его достоверности. В целом, информация об активах и обязательствах, финансово-хозяйственных операциях, изложенная в бюджетн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 отчетности, раскрыта полно. Искажений бюджетной отчетности, имеющих существенный характер либо явившихся результатом преднамеренных действий или бездействий, значительно влияющих на ее достоверность, не выявлено.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внешней проверки годовой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бюджетной отчетности главных администраторов бюджетных средств за 2024 год установлено, что бюджетная отчетность является достаточно информативной, информация, позволяющая дать оценку факторам, повлиявшим на исполнение бюджета и на результаты деятельности,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полной мере отражена в пояснительных записках к годовой бюджетной отчетности.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Результаты контрольного мероприятия были использованы при подготовке заключения на отчет об исполнении бюджета города Мегиона за 2024 год.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2.12. В отчетном периоде специалисты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Контрольно-счетной палаты были привлечены к проверкам, проводимым прокуратурой города Мегиона: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роверка </w:t>
      </w:r>
      <w:r>
        <w:rPr>
          <w:rFonts w:ascii="Times New Roman" w:hAnsi="Times New Roman"/>
          <w:color w:val="000000" w:themeColor="text1"/>
          <w:sz w:val="24"/>
          <w:szCs w:val="24"/>
        </w:rPr>
        <w:t>исполнения требований законодательства о противодействии коррупции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проведенной проверки, подготовлена мотивированная справка о выявле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нных нарушениях.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2.13. В отчетном периоде в соответствии с Федеральным законом от 02.05.2006 № 59-ФЗ «О порядке рассмотрения обращений граждан Российской Федерации» в адрес Контрольно-счетной палаты поступило 2 обращения, пересланные из Аппарата Губернатор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Ханты-Мансийского автономного округа - Югры.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всем обращениям даны мотивированные ответы авторам обращений. </w:t>
      </w:r>
    </w:p>
    <w:p w:rsidR="00FC07A3" w:rsidRDefault="00BA6FFC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 Экспертно-аналитическая деятельность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Важн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 направлением в работе Контрольно-счетной палаты является экспертно-аналитическая деятельность, в рамках которой проводятся экспертизы, в том числе финансовые, поступивших проектов решений Думы города Мегиона, проектов постановлений администрации города.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2025 год Контрольно-счетной палатой города проведено 117 экспертно-аналитических мероприятия в отношении проектов муниципальных правовых актов (изменения в муниципальные программы, проект решения о бюджете на 2026 год и плановый период 2027 и 2028 годо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в, 3 внесения изменений в бюджет города на 2025 год и другие).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Наибольший удельный вес экспертиз - 55 экспертиз, приходится на нормативно правовые акты администрации города по внесению изменений в муниципальные программы, 24 экспертиз положений по регулиро</w:t>
      </w:r>
      <w:r>
        <w:rPr>
          <w:rFonts w:ascii="Times New Roman" w:hAnsi="Times New Roman"/>
          <w:color w:val="000000" w:themeColor="text1"/>
          <w:sz w:val="24"/>
          <w:szCs w:val="24"/>
        </w:rPr>
        <w:t>ванию оплаты труда, 24 экспертиз проектов решений Думы города Мегиона и 14 экспертиз проектов в области прочей деятельности администрации города.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результатам экспертно-аналитических мероприятий были подготовлены соответствующие заключения. 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подготов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ке заключений большое внимание уделялось взаимодействию с разработчиками проектов муниципальных правовых актов. 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Возникающие в процессе работы над заключениями вопросы, замечания и предложения прорабатывались сотрудниками Контрольно-счетной палаты совместн</w:t>
      </w:r>
      <w:r>
        <w:rPr>
          <w:rFonts w:ascii="Times New Roman" w:hAnsi="Times New Roman"/>
          <w:color w:val="000000" w:themeColor="text1"/>
          <w:sz w:val="24"/>
          <w:szCs w:val="24"/>
        </w:rPr>
        <w:t>о с разработчиками в рабочем порядке, а также в рамках проведения совместных совещаний в случаях возникновения вопросов по представленным проектам муниципальных правовых актов. Таким образом, представленные в Контрольно-счетную палату материалы проектов му</w:t>
      </w:r>
      <w:r>
        <w:rPr>
          <w:rFonts w:ascii="Times New Roman" w:hAnsi="Times New Roman"/>
          <w:color w:val="000000" w:themeColor="text1"/>
          <w:sz w:val="24"/>
          <w:szCs w:val="24"/>
        </w:rPr>
        <w:t>ниципальных правовых актов дорабатывались разработчиками на стадии подготовки заключения Контрольно-счетной палатой с учетом уже рассмотренных устных предложений и замечаний. Большая часть указанных предложений была направлена на предоставление разработчик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ами проектов необходимой дополнительной информации (в том числе экономических расчетов), обоснований и пояснений по предоставленным данным. </w:t>
      </w:r>
    </w:p>
    <w:p w:rsidR="00FC07A3" w:rsidRDefault="00BA6FFC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Выявлено 67 нарушений и замечаний, предложения по устранению которых направлены лицам, ответственным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разработку проектов муниципальных правовых актов.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итогам экспертно-аналитической деятельности Контрольно-счетной палаты учтено и принято к сведению 57 замечаний и предложений или 85 % от общего количества. </w:t>
      </w:r>
    </w:p>
    <w:p w:rsidR="00FC07A3" w:rsidRDefault="00BA6FF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На постоянной основе осуществляется взаимодейс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твие Контрольно-счетной палаты и прокуратуры города Мегиона в сфере муниципального правотворчества. Все проекты муниципальных правовых актов, предусматривающих финансирование из местного бюджета, после прохождения экспертизы в Контрольно-счетной палате нап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равляются разработчиками в прокуратуру города Мегион. Нарушения бюджетного законодательства, выявленные Контрольно-счетной палатой и прокуратурой города, в том числе, отсутствие соответствующих заключений органа муниципального контроля на проект муниципаль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ного нормативного правового акта, являлись основанием для направления прокурором в администрацию города информации о несоответствии проектов требованиям законодательства. Факты нарушений бюджетного законодательства в проектах муниципальных нормативных прав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овых актов при наличии положительного заключения Контрольно-счетной палаты прокуратурой города не выявлены. 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 В соответствии со статьей 265 БК РФ Контрольно-счетная палата как постоянно действующий орган внешнего муниципального финансового контроля осу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ществляет предварительный и последующий контроль исполнения бюджета. В рамках предварительного контроля Контрольно-счетная палата проводит экспертизу проекта бюджета города и проектов решений Думы города о внесении изменений в бюджет города, в рамках после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дующего контроля осуществляет, в том числе, внешнюю проверку бюджетной отчетности главных администраторов бюджетных средств и внешнюю проверку годового отчета об исполнении бюджета города.</w:t>
      </w:r>
    </w:p>
    <w:p w:rsidR="00FC07A3" w:rsidRDefault="00BA6FFC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целях получения информации и выработки предложений, направленных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совершенствование как бюджетного процесса в целом, так и на совершенствование взаимодействия участников бюджетного процесса, Контрольно-счетной палатой, как и в предыдущем отчетном периоде, особое внимание было уделено проекту бюджета и отчету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о его исп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олнении.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3.2.1.  Предварительный контроль</w:t>
      </w:r>
    </w:p>
    <w:p w:rsidR="00FC07A3" w:rsidRDefault="00BA6FF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экспертизе проекта решения Думы города «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 бюджете </w:t>
      </w:r>
      <w:bookmarkStart w:id="0" w:name="_GoBack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городского округа Мегион Ханты-Мансийского автономного округа - Югры на 2025 год и плановый период 2026 и 2027 годов</w:t>
      </w:r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представленных одновременно с ним матери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алов, документы были в целом признаны соответствующими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 БК РФ 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Положению об отдельных вопросах организации и осуществления бюджетного процесса в городском округе город Мегион, утвержденного решением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Думы города Мегиона от 30.11.2012 № 306 (с из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менениями). 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течение 2025 года в решение Думы города Мегиона от 09.12.2024 № 427 «О бюджете городского округа Мегион Ханты-Мансийского автономного округа – Югры на 2025 год и плановый период 2026 и 2027 годов»  3 раза вносились изменения. По каждому прое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кту решения Думы подготовлены заключения на соответствие требованиям Бюджетного кодекса Российской Федерации, Положению об отдельных вопросах организации и осуществления бюджетного процесса в городском округе Мегион Ханты-Мансийского автономного округа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гры, утвержденного решением Думы города Мегиона от 30.11.2012 № 306 (с изменениями) и иным нормативным правовым актам.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3.2.2. Последующий контроль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Одним из основных мероприятий последующего контроля, проведенных Контрольно-счетной палатой в отчетном году 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 основании статьи 264.4 БК РФ и </w:t>
      </w:r>
      <w:r>
        <w:rPr>
          <w:rFonts w:ascii="Times New Roman" w:hAnsi="Times New Roman"/>
          <w:color w:val="000000" w:themeColor="text1"/>
          <w:sz w:val="24"/>
          <w:szCs w:val="24"/>
        </w:rPr>
        <w:t>Положения об отдельных вопросах организации и осуществления бюджетного процесса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являлась внешняя проверка годового отчета об исполнении бюджета городского округа Мегион Ханты-Мансийского автономного округа - Югры за 2024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подготовка заключения по ее результатам.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Контрольно-счетной палаты на отчет об исполнении бюджета – это, в первую очередь, комплексный анализ выполнения обязательств органов местного самоуправления на основе не только анализа исполнения 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юджета, но и результатов, проведенных за соответствующий период контрольных и экспертно-аналитических мероприятий.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Внешней проверкой годового отчета об исполнении бюджета городского округа Мегион Ханты-Мансийского автономного округа - Югры за 2024 год, в 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ом числе внешней проверкой бюджетной отчетности главных администраторов бюджетных средств были </w:t>
      </w:r>
      <w:r>
        <w:rPr>
          <w:rFonts w:ascii="Times New Roman" w:hAnsi="Times New Roman"/>
          <w:color w:val="000000" w:themeColor="text1"/>
          <w:sz w:val="24"/>
          <w:szCs w:val="24"/>
        </w:rPr>
        <w:t>установлены отдельные случаи отражения в формах годового отчета об исполнении бюджета неполной информации, указано на недостатки работы главных администраторов б</w:t>
      </w:r>
      <w:r>
        <w:rPr>
          <w:rFonts w:ascii="Times New Roman" w:hAnsi="Times New Roman"/>
          <w:color w:val="000000" w:themeColor="text1"/>
          <w:sz w:val="24"/>
          <w:szCs w:val="24"/>
        </w:rPr>
        <w:t>юджетных средств в ходе исполнения бюджета,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которые на достоверность годовой бюджетной отчетности не повлияли. </w:t>
      </w:r>
    </w:p>
    <w:p w:rsidR="00FC07A3" w:rsidRDefault="00BA6FFC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План работы Контрольно-счетной палаты на 2025 год выполнен. </w:t>
      </w:r>
    </w:p>
    <w:p w:rsidR="00FC07A3" w:rsidRDefault="00BA6FFC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4. Проведенные мероприятия по профилактике и предупреждению финансовых нарушений, п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ротиводействию коррупции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Деятельность Контрольно-счетной палаты направлена на профилактику и предупреждение нарушений законодательства при расходовании бюджетных средств. Для достижения данной цели в течение 2025 года по результатам контрольны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х и экспертно-аналитических мероприятий проводились следующие действия: анализ выявленных в их ходе нарушений, их обобщение и выявление среди данных нарушений неоднократных, связанных с недостатками действующего законодательства, неверным применением либо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толкованием законодательства, с субъективными факторами, обнаруженных причин и условий, способствующих их совершению.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ходе обеспечения Контрольно-счетной палатой, в соответствии с Федеральным законом № 6-ФЗ, мер по противодействию коррупции приоритетное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внимание уделялось вопросам предупреждения коррупции, в том числе выявлению и последующему устранению ее причин.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связи с этим в Контрольно-счетной палате проводится целенаправленная работа по осуществлению мероприятий по исполнению Федерального закона от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25.12.2008 № 273-ФЗ «О противодействии коррупции», соответствующих Указов Президента Российской Федерации и иных нормативных правовых актов, направленных на принятие эффективных мер по профилактике коррупции, соблюдению общих принципов служебного поведени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я, норм профессиональной этики, обязательств, ограничений и запретов, установленных на муниципальной службе.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отчетном периоде главный акцент сделан на осуществление системных мер, направленных на выявление и устранение причин и условий, способствующих во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зникновению коррупционных проявлений и конфликта интересов на муниципальной службе. На рабочих совещаниях ежеквартально доводилась информация надзорных органов за соблюдением законодательства по противодействию коррупции в органах государственной власти 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органах местного самоуправления Ханты-Мансийского автономного округа – Югры.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ходе декларационной кампании для исключения случаев представления недостоверных и (или) неполных сведений о доходах, расходах, об имуществе и обязательствах имущественного харак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тера и оказания практической помощи в заполнении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справок о доходах, расходах, об имуществе и обязательствах имущественного характера, с сотрудниками проведены учебно-методические занятия об изменениях в антикоррупционном законодательстве Российской Федерац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ии по порядку представления муниципальными служащими сведений о доходах, расходах, об имуществе и обязательствах имущественного характера.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Все представленные справки о доходах, расходах, об имуществе и обязательствах имущественного характера лиц, замещающи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 муниципальные должности и муниципальных служащих Контрольно-счетной палаты города Мегион подготовлены с использованием специального программного обеспечения «Справки БК».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частью 8 статьи 16 Федерального закона № 6-ФЗ в случае, если при п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материалы контрольных мероприятий в правоохранительные органы.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отчетном периоде Контрольно-счетная палата принимала участие в работе Межведомственных рабочих групп по противодействию коррупции, на которых рассматривались вопросы о проводимой работе по пр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едупреждению, выявлению и пресечению коррупционных преступлений в сфере государственных и муниципальных закупок, экономики и финансов.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профилактики возникновения нарушений и устранения выявляемых нарушений Контрольно-счетной палатой в течение 2025 года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постоянной основе организована работа с должностными лицами проверяемых объектов по рассмотрению результатов проведенных мероприятий. Проведение совместных совещаний с субъектами проверок позволило определить сроки и механизмы реализации предложений Ко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нтрольно-счетной палаты.</w:t>
      </w:r>
    </w:p>
    <w:p w:rsidR="00FC07A3" w:rsidRDefault="00BA6FFC">
      <w:pPr>
        <w:widowControl w:val="0"/>
        <w:spacing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2026 году работа по устранению коррупционной составляющей в правовой базе города, а также взаимодействие с органами контроля при определении коррупционных рисков будут продолжены. </w:t>
      </w:r>
    </w:p>
    <w:p w:rsidR="00FC07A3" w:rsidRDefault="00BA6FF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5. Выводы и иная информация о деятельности Контр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ольно-счетной палаты города Мегиона</w:t>
      </w:r>
    </w:p>
    <w:p w:rsidR="00FC07A3" w:rsidRDefault="00BA6FFC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5.1. Методическая работа, обучение, участие в Совете органов внешнего финансового контроля Ханты-Мансийского автономного округа – Югры</w:t>
      </w:r>
    </w:p>
    <w:p w:rsidR="00FC07A3" w:rsidRDefault="00BA6FFC">
      <w:pPr>
        <w:pStyle w:val="Default"/>
        <w:spacing w:before="120"/>
        <w:ind w:firstLine="567"/>
        <w:contextualSpacing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</w:rPr>
        <w:t xml:space="preserve">В целях </w:t>
      </w:r>
      <w:r>
        <w:rPr>
          <w:bCs/>
          <w:color w:val="000000" w:themeColor="text1"/>
        </w:rPr>
        <w:t>методического обеспечения деятельности в</w:t>
      </w:r>
      <w:r>
        <w:rPr>
          <w:color w:val="000000" w:themeColor="text1"/>
        </w:rPr>
        <w:t xml:space="preserve"> 2025</w:t>
      </w:r>
      <w:r>
        <w:rPr>
          <w:color w:val="000000" w:themeColor="text1"/>
        </w:rPr>
        <w:t xml:space="preserve"> году продолжено совершенствование системы стандартов Контрольно-счетной палаты, осуществлялась разработка  </w:t>
      </w:r>
      <w:r>
        <w:rPr>
          <w:bCs/>
          <w:color w:val="000000" w:themeColor="text1"/>
        </w:rPr>
        <w:t xml:space="preserve">единых подходов </w:t>
      </w:r>
      <w:r>
        <w:rPr>
          <w:color w:val="000000" w:themeColor="text1"/>
        </w:rPr>
        <w:t>к выявлению коррупционных рисков, составлению протоколов об административных правонарушениях, проведению экспертиз проектов муниципа</w:t>
      </w:r>
      <w:r>
        <w:rPr>
          <w:color w:val="000000" w:themeColor="text1"/>
        </w:rPr>
        <w:t xml:space="preserve">льных правовых актов города Мегиона, порядка организации и проведения совместных или параллельных проверок Контрольно-счетной палаты города Мегиона и Счетной палаты Ханты-Мансийского автономного округа - Югры. </w:t>
      </w:r>
      <w:r>
        <w:rPr>
          <w:rFonts w:eastAsia="Times New Roman"/>
          <w:color w:val="000000" w:themeColor="text1"/>
        </w:rPr>
        <w:t>Количество утвержденных и используемых методич</w:t>
      </w:r>
      <w:r>
        <w:rPr>
          <w:rFonts w:eastAsia="Times New Roman"/>
          <w:color w:val="000000" w:themeColor="text1"/>
        </w:rPr>
        <w:t xml:space="preserve">еских материалов (стандарты, методические рекомендации) в 2025 году составило 20 единиц. </w:t>
      </w:r>
    </w:p>
    <w:p w:rsidR="00FC07A3" w:rsidRDefault="00BA6FFC">
      <w:pPr>
        <w:pStyle w:val="Default"/>
        <w:spacing w:before="120"/>
        <w:ind w:firstLine="567"/>
        <w:contextualSpacing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Контрольно-счетная палата является членом Совета органов внешнего финансового контроля Ханты-Мансийского автономного округа – Югры, а также с 2014 года членом Союза м</w:t>
      </w:r>
      <w:r>
        <w:rPr>
          <w:rFonts w:eastAsia="Times New Roman"/>
          <w:color w:val="000000" w:themeColor="text1"/>
        </w:rPr>
        <w:t>униципальных контрольно-счетных органов (Союз МКСО). Это позволяет обеспечить выполнение поставленных перед ней задач, путем применения поступающих материалов в части: единообразия методологических подходов к контрольной и экспертно-аналитической деятельно</w:t>
      </w:r>
      <w:r>
        <w:rPr>
          <w:rFonts w:eastAsia="Times New Roman"/>
          <w:color w:val="000000" w:themeColor="text1"/>
        </w:rPr>
        <w:t>сти; оказания организационной, правовой, информационной, методической и иной помощи; оказание содействия в повышении профессионального уровня в сфере внешнего финансового контроля; получение обобщенного и распространенного передового опыта осуществления вн</w:t>
      </w:r>
      <w:r>
        <w:rPr>
          <w:rFonts w:eastAsia="Times New Roman"/>
          <w:color w:val="000000" w:themeColor="text1"/>
        </w:rPr>
        <w:t>ешнего финансового контроля; возможность обсуждения основных аспектов взаимодействия контрольно-счетных органов и органов прокуратуры; рассмотрение актуальных вопросов муниципального финансового контроля на местном уровне, типичных выявляемых нарушений и т</w:t>
      </w:r>
      <w:r>
        <w:rPr>
          <w:rFonts w:eastAsia="Times New Roman"/>
          <w:color w:val="000000" w:themeColor="text1"/>
        </w:rPr>
        <w:t>.д.</w:t>
      </w:r>
    </w:p>
    <w:p w:rsidR="00FC07A3" w:rsidRDefault="00BA6FFC">
      <w:pPr>
        <w:pStyle w:val="Default"/>
        <w:spacing w:before="120"/>
        <w:ind w:firstLine="567"/>
        <w:contextualSpacing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 xml:space="preserve">В 2025 году председатель Контрольно-счетной палаты включена в состав комиссии Союза МКСО </w:t>
      </w:r>
      <w:r>
        <w:rPr>
          <w:rFonts w:eastAsia="Times New Roman"/>
          <w:color w:val="000000" w:themeColor="text1"/>
        </w:rPr>
        <w:t>по перспективному планированию деятельности и формированию муниципальных контрольно-счетных органов.</w:t>
      </w:r>
    </w:p>
    <w:p w:rsidR="00FC07A3" w:rsidRDefault="00BA6FFC">
      <w:pPr>
        <w:pStyle w:val="Default"/>
        <w:spacing w:before="120"/>
        <w:ind w:firstLine="567"/>
        <w:contextualSpacing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В отчетном периоде председатель Контрольно-счетной палаты прин</w:t>
      </w:r>
      <w:r>
        <w:rPr>
          <w:rFonts w:eastAsia="Times New Roman"/>
          <w:color w:val="000000" w:themeColor="text1"/>
        </w:rPr>
        <w:t>яла участие в заседании Совета органов внешнего финансового контроля Ханты-Мансийского автономного округа – Югры, во Всероссийской конференция «Роль МКСО в совершенствовании планирования социально-экономического развития территории», в общем собрание члено</w:t>
      </w:r>
      <w:r>
        <w:rPr>
          <w:rFonts w:eastAsia="Times New Roman"/>
          <w:color w:val="000000" w:themeColor="text1"/>
        </w:rPr>
        <w:t>в Представительства Союза МКСО в Сибирском и Уральском федеральных округах в городе Красноярске,  в заседании Президиума Союза МКСО.</w:t>
      </w:r>
    </w:p>
    <w:p w:rsidR="00FC07A3" w:rsidRDefault="00BA6FFC">
      <w:pPr>
        <w:pStyle w:val="Default"/>
        <w:spacing w:before="120"/>
        <w:ind w:firstLine="567"/>
        <w:contextualSpacing/>
        <w:jc w:val="both"/>
        <w:rPr>
          <w:rFonts w:eastAsia="Times New Roman"/>
          <w:color w:val="000000" w:themeColor="text1"/>
          <w:highlight w:val="yellow"/>
        </w:rPr>
      </w:pPr>
      <w:r>
        <w:rPr>
          <w:rFonts w:eastAsia="Times New Roman"/>
          <w:color w:val="000000" w:themeColor="text1"/>
        </w:rPr>
        <w:t>На постоянной основе сотрудники принимают участие в круглых столах, проводимых Союзом МКСО в онлайн режиме.</w:t>
      </w:r>
    </w:p>
    <w:p w:rsidR="00FC07A3" w:rsidRDefault="00BA6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овышение профессиональных компетенций сотрудников является одним из важнейших условий оптимизации деятельности Контрольно-счетной палаты. В связи с чем особое внимание уделяется дополнительному образованию сотрудников в форме курсов повышения квалификации.</w:t>
      </w:r>
    </w:p>
    <w:p w:rsidR="00FC07A3" w:rsidRDefault="00BA6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Программы повышения квалификации подбирались с учетом полномочий и специфики органа внешнего муниципального контроля, с целью формирования у сотрудников практических навыков, необходимых для осуществления контрольной деятельности. Тематика курсов напрямую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соотносится с вопросами мероприятий, включаемых в План работы Контрольно-счетной палаты.</w:t>
      </w:r>
    </w:p>
    <w:p w:rsidR="00FC07A3" w:rsidRDefault="00BA6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2025 году 1 сотрудник прошел обучение по дополнительной профессиональной программе повышения квалификации «Профилактика коррупционных и иных правонарушений в органа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 местного самоуправления», проводимое автономным учреждением Ханты-Мансийского автономного округа – Югры «Региональный институт управления». 2 сотрудника повысили квалификацию в Санкт-Петербургского филиале ФГОБУ ВО «Финансовый университет при Правительст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 Российской Федерации» по программе повышения квалификации «Правовые и организационные меры по противодействию коррупции в деятельности государственных и муниципальных учреждений», « Внешний муниципальный финансовый контроль в бюджетной сфере».</w:t>
      </w:r>
    </w:p>
    <w:p w:rsidR="00FC07A3" w:rsidRPr="00BA6FFC" w:rsidRDefault="00BA6FFC">
      <w:pPr>
        <w:pStyle w:val="afb"/>
        <w:tabs>
          <w:tab w:val="left" w:pos="720"/>
        </w:tabs>
        <w:spacing w:before="120" w:after="0"/>
        <w:ind w:left="0" w:firstLine="567"/>
        <w:contextualSpacing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5.3. </w:t>
      </w:r>
      <w:r w:rsidRPr="00BA6FFC">
        <w:rPr>
          <w:color w:val="000000" w:themeColor="text1"/>
          <w:szCs w:val="24"/>
          <w:lang w:val="ru-RU"/>
        </w:rPr>
        <w:t>Глас</w:t>
      </w:r>
      <w:r w:rsidRPr="00BA6FFC">
        <w:rPr>
          <w:color w:val="000000" w:themeColor="text1"/>
          <w:szCs w:val="24"/>
          <w:lang w:val="ru-RU"/>
        </w:rPr>
        <w:t>ность в работе</w:t>
      </w:r>
    </w:p>
    <w:p w:rsidR="00FC07A3" w:rsidRDefault="00BA6FFC">
      <w:pPr>
        <w:tabs>
          <w:tab w:val="left" w:pos="72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A6F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отчетном году было уделено внимание вопросу обеспечения доступа к информации о деятельности Контрольно-счетной палаты. </w:t>
      </w:r>
    </w:p>
    <w:p w:rsidR="00FC07A3" w:rsidRDefault="00BA6FFC">
      <w:pPr>
        <w:tabs>
          <w:tab w:val="left" w:pos="720"/>
        </w:tabs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целях обеспечения доступа к информации о своей деятельности Контрольно-счетная палатой в 2025 году размещено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сети Интернет на официальном сайте </w:t>
      </w:r>
      <w:hyperlink r:id="rId8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http://spmegion.ru/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и печатном издании «Мегионские новости» 124 информаций по всем основным направлениям и документы, характеризующие деятельность Контрольно-счетной палаты: план работ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ы, отчет о деятельности, информацию о проведенных экспертно-аналитических и контрольных мероприятиях, регламент, стандарты, методические рекомендации, информация об антикоррупционной деятельности и другое. </w:t>
      </w:r>
    </w:p>
    <w:p w:rsidR="00FC07A3" w:rsidRDefault="00BA6FFC">
      <w:pPr>
        <w:tabs>
          <w:tab w:val="left" w:pos="720"/>
        </w:tabs>
        <w:spacing w:before="120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целях совершенствования взаимодействия с населе</w:t>
      </w:r>
      <w:r>
        <w:rPr>
          <w:rFonts w:ascii="Times New Roman" w:hAnsi="Times New Roman"/>
          <w:color w:val="000000" w:themeColor="text1"/>
          <w:sz w:val="24"/>
          <w:szCs w:val="24"/>
        </w:rPr>
        <w:t>нием, осуществления общей политики информирования о деятельности органов местного самоуправления муниципального образования, обеспечивающей единые принципы, правила организации и ведения работы в социальных сетях, руководствуясь Федеральными законами от 06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.10.2003 №131-ФЗ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 информация размещается на </w:t>
      </w:r>
      <w:r>
        <w:rPr>
          <w:rFonts w:ascii="Times New Roman" w:hAnsi="Times New Roman"/>
          <w:color w:val="000000" w:themeColor="text1"/>
          <w:sz w:val="24"/>
          <w:szCs w:val="24"/>
        </w:rPr>
        <w:t>официальной странице в социальной сети «ВКонтакте», «Одноклассники», в мессенджере «Max».</w:t>
      </w:r>
    </w:p>
    <w:p w:rsidR="00FC07A3" w:rsidRDefault="00BA6FFC">
      <w:pPr>
        <w:tabs>
          <w:tab w:val="left" w:pos="720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Основные направления деятельности Контрольно-счетной палаты в 2025 году были сформированы в соответствии с полномочиями, возложенными на контрольно-счетный орган муни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ципального образования Бюджетным кодексом Российской Федерации, Федеральным законом от 07.02.2011 № 6-ФЗ «Об общих принципах организации и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деятельности контрольно-счетных органов субъектов Российской Федерации, федеральных территорий и муниципальных образо</w:t>
      </w:r>
      <w:r>
        <w:rPr>
          <w:rFonts w:ascii="Times New Roman" w:hAnsi="Times New Roman"/>
          <w:color w:val="000000" w:themeColor="text1"/>
          <w:sz w:val="24"/>
          <w:szCs w:val="24"/>
        </w:rPr>
        <w:t>ваний», Федеральным законом от 05.04.2013 № 44-ФЗ «О контрактной системе в сфере закупок товаров, работ, услуг для обеспечения  государственных и муниципальных нужд», иными нормативными правовыми актами Российской Федерации, законами Ханты-Мансийского авто</w:t>
      </w:r>
      <w:r>
        <w:rPr>
          <w:rFonts w:ascii="Times New Roman" w:hAnsi="Times New Roman"/>
          <w:color w:val="000000" w:themeColor="text1"/>
          <w:sz w:val="24"/>
          <w:szCs w:val="24"/>
        </w:rPr>
        <w:t>номного округа - Югры и нормативными актами города Мегиона. Полномочия, возложенные на орган внешнего финансового контроля, определили основные задачи Контрольно-счетной палаты города Мегиона на 2025 год как ключевого элемента системы общественного контрол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 за расходованием средств бюджета и использованием муниципальной собственности, а также инструмента согласования решений в сфере социально-экономического развития города. </w:t>
      </w:r>
    </w:p>
    <w:p w:rsidR="00FC07A3" w:rsidRDefault="00BA6FFC">
      <w:pPr>
        <w:tabs>
          <w:tab w:val="left" w:pos="720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Основной задачей Контрольно-счетной палаты остается контроль соблюдения принципов з</w:t>
      </w:r>
      <w:r>
        <w:rPr>
          <w:rFonts w:ascii="Times New Roman" w:hAnsi="Times New Roman"/>
          <w:color w:val="000000" w:themeColor="text1"/>
          <w:sz w:val="24"/>
          <w:szCs w:val="24"/>
        </w:rPr>
        <w:t>аконности, эффективности и результативности использования бюджетных средств на всех уровнях и этапах бюджетного процесса, также в 2026 году планируется продолжить применение в деятельности элементов стратегического аудита, позволяющего сопоставить ресурсны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возможности муниципалитета и ожидаемые конечные результаты.   </w:t>
      </w:r>
    </w:p>
    <w:p w:rsidR="00FC07A3" w:rsidRDefault="00BA6FFC">
      <w:pPr>
        <w:tabs>
          <w:tab w:val="left" w:pos="720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Отдельное внимание будет уделено мерам, предпринятым объектами контроля по исполнению представлений и предписаний Контрольно-счетной палаты, а также реализации предложений и рекомендаций, пре</w:t>
      </w:r>
      <w:r>
        <w:rPr>
          <w:rFonts w:ascii="Times New Roman" w:hAnsi="Times New Roman"/>
          <w:color w:val="000000" w:themeColor="text1"/>
          <w:sz w:val="24"/>
          <w:szCs w:val="24"/>
        </w:rPr>
        <w:t>дусмотренных информационными письмами Контрольно-счетной палаты.</w:t>
      </w:r>
    </w:p>
    <w:p w:rsidR="00FC07A3" w:rsidRDefault="00BA6FFC">
      <w:pPr>
        <w:tabs>
          <w:tab w:val="left" w:pos="720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Как и в предыдущие годы, приоритетом в деятельности Контрольно-счетной палаты города Мегиона на 2026 год остается не применение наказаний как самоцель, а выявление рисков нарушения законодате</w:t>
      </w:r>
      <w:r>
        <w:rPr>
          <w:rFonts w:ascii="Times New Roman" w:hAnsi="Times New Roman"/>
          <w:color w:val="000000" w:themeColor="text1"/>
          <w:sz w:val="24"/>
          <w:szCs w:val="24"/>
        </w:rPr>
        <w:t>льства, формирование результативных и действенных мер по их предотвращению и пресечению.</w:t>
      </w:r>
    </w:p>
    <w:p w:rsidR="00FC07A3" w:rsidRDefault="00FC07A3">
      <w:pPr>
        <w:tabs>
          <w:tab w:val="left" w:pos="708"/>
          <w:tab w:val="center" w:pos="4677"/>
          <w:tab w:val="right" w:pos="9355"/>
        </w:tabs>
        <w:spacing w:after="0" w:line="240" w:lineRule="auto"/>
        <w:ind w:left="524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FC07A3">
      <w:head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A3" w:rsidRDefault="00BA6FFC">
      <w:pPr>
        <w:spacing w:after="0" w:line="240" w:lineRule="auto"/>
      </w:pPr>
      <w:r>
        <w:separator/>
      </w:r>
    </w:p>
  </w:endnote>
  <w:endnote w:type="continuationSeparator" w:id="0">
    <w:p w:rsidR="00FC07A3" w:rsidRDefault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A3" w:rsidRDefault="00BA6FFC">
      <w:pPr>
        <w:spacing w:after="0" w:line="240" w:lineRule="auto"/>
      </w:pPr>
      <w:r>
        <w:separator/>
      </w:r>
    </w:p>
  </w:footnote>
  <w:footnote w:type="continuationSeparator" w:id="0">
    <w:p w:rsidR="00FC07A3" w:rsidRDefault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A3" w:rsidRDefault="00BA6FF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BA6FFC">
      <w:rPr>
        <w:noProof/>
        <w:lang w:val="ru-RU"/>
      </w:rPr>
      <w:t>15</w:t>
    </w:r>
    <w:r>
      <w:fldChar w:fldCharType="end"/>
    </w:r>
  </w:p>
  <w:p w:rsidR="00FC07A3" w:rsidRDefault="00FC07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126"/>
    <w:multiLevelType w:val="hybridMultilevel"/>
    <w:tmpl w:val="5C50E176"/>
    <w:lvl w:ilvl="0" w:tplc="0B5C1722">
      <w:start w:val="1"/>
      <w:numFmt w:val="decimal"/>
      <w:lvlText w:val="%1."/>
      <w:lvlJc w:val="left"/>
      <w:pPr>
        <w:ind w:left="1158" w:hanging="450"/>
      </w:pPr>
    </w:lvl>
    <w:lvl w:ilvl="1" w:tplc="C6CE7B2A">
      <w:start w:val="1"/>
      <w:numFmt w:val="lowerLetter"/>
      <w:lvlText w:val="%2."/>
      <w:lvlJc w:val="left"/>
      <w:pPr>
        <w:ind w:left="1788" w:hanging="360"/>
      </w:pPr>
    </w:lvl>
    <w:lvl w:ilvl="2" w:tplc="A10A7E62">
      <w:start w:val="1"/>
      <w:numFmt w:val="lowerRoman"/>
      <w:lvlText w:val="%3."/>
      <w:lvlJc w:val="right"/>
      <w:pPr>
        <w:ind w:left="2508" w:hanging="180"/>
      </w:pPr>
    </w:lvl>
    <w:lvl w:ilvl="3" w:tplc="E5AA53A6">
      <w:start w:val="1"/>
      <w:numFmt w:val="decimal"/>
      <w:lvlText w:val="%4."/>
      <w:lvlJc w:val="left"/>
      <w:pPr>
        <w:ind w:left="3228" w:hanging="360"/>
      </w:pPr>
    </w:lvl>
    <w:lvl w:ilvl="4" w:tplc="637CE53A">
      <w:start w:val="1"/>
      <w:numFmt w:val="lowerLetter"/>
      <w:lvlText w:val="%5."/>
      <w:lvlJc w:val="left"/>
      <w:pPr>
        <w:ind w:left="3948" w:hanging="360"/>
      </w:pPr>
    </w:lvl>
    <w:lvl w:ilvl="5" w:tplc="90CEB5E0">
      <w:start w:val="1"/>
      <w:numFmt w:val="lowerRoman"/>
      <w:lvlText w:val="%6."/>
      <w:lvlJc w:val="right"/>
      <w:pPr>
        <w:ind w:left="4668" w:hanging="180"/>
      </w:pPr>
    </w:lvl>
    <w:lvl w:ilvl="6" w:tplc="0ACA6038">
      <w:start w:val="1"/>
      <w:numFmt w:val="decimal"/>
      <w:lvlText w:val="%7."/>
      <w:lvlJc w:val="left"/>
      <w:pPr>
        <w:ind w:left="5388" w:hanging="360"/>
      </w:pPr>
    </w:lvl>
    <w:lvl w:ilvl="7" w:tplc="AB22D25E">
      <w:start w:val="1"/>
      <w:numFmt w:val="lowerLetter"/>
      <w:lvlText w:val="%8."/>
      <w:lvlJc w:val="left"/>
      <w:pPr>
        <w:ind w:left="6108" w:hanging="360"/>
      </w:pPr>
    </w:lvl>
    <w:lvl w:ilvl="8" w:tplc="217AB8B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645A6"/>
    <w:multiLevelType w:val="hybridMultilevel"/>
    <w:tmpl w:val="53AEA11C"/>
    <w:lvl w:ilvl="0" w:tplc="2E583158">
      <w:start w:val="5"/>
      <w:numFmt w:val="decimal"/>
      <w:lvlText w:val="%1"/>
      <w:lvlJc w:val="left"/>
      <w:pPr>
        <w:ind w:left="927" w:hanging="360"/>
      </w:pPr>
    </w:lvl>
    <w:lvl w:ilvl="1" w:tplc="781E8A52">
      <w:start w:val="1"/>
      <w:numFmt w:val="lowerLetter"/>
      <w:lvlText w:val="%2."/>
      <w:lvlJc w:val="left"/>
      <w:pPr>
        <w:ind w:left="1647" w:hanging="360"/>
      </w:pPr>
    </w:lvl>
    <w:lvl w:ilvl="2" w:tplc="D2BC2372">
      <w:start w:val="1"/>
      <w:numFmt w:val="lowerRoman"/>
      <w:lvlText w:val="%3."/>
      <w:lvlJc w:val="right"/>
      <w:pPr>
        <w:ind w:left="2367" w:hanging="180"/>
      </w:pPr>
    </w:lvl>
    <w:lvl w:ilvl="3" w:tplc="29CC047A">
      <w:start w:val="1"/>
      <w:numFmt w:val="decimal"/>
      <w:lvlText w:val="%4."/>
      <w:lvlJc w:val="left"/>
      <w:pPr>
        <w:ind w:left="3087" w:hanging="360"/>
      </w:pPr>
    </w:lvl>
    <w:lvl w:ilvl="4" w:tplc="201675EE">
      <w:start w:val="1"/>
      <w:numFmt w:val="lowerLetter"/>
      <w:lvlText w:val="%5."/>
      <w:lvlJc w:val="left"/>
      <w:pPr>
        <w:ind w:left="3807" w:hanging="360"/>
      </w:pPr>
    </w:lvl>
    <w:lvl w:ilvl="5" w:tplc="C414D90A">
      <w:start w:val="1"/>
      <w:numFmt w:val="lowerRoman"/>
      <w:lvlText w:val="%6."/>
      <w:lvlJc w:val="right"/>
      <w:pPr>
        <w:ind w:left="4527" w:hanging="180"/>
      </w:pPr>
    </w:lvl>
    <w:lvl w:ilvl="6" w:tplc="0B368D96">
      <w:start w:val="1"/>
      <w:numFmt w:val="decimal"/>
      <w:lvlText w:val="%7."/>
      <w:lvlJc w:val="left"/>
      <w:pPr>
        <w:ind w:left="5247" w:hanging="360"/>
      </w:pPr>
    </w:lvl>
    <w:lvl w:ilvl="7" w:tplc="4C4425A2">
      <w:start w:val="1"/>
      <w:numFmt w:val="lowerLetter"/>
      <w:lvlText w:val="%8."/>
      <w:lvlJc w:val="left"/>
      <w:pPr>
        <w:ind w:left="5967" w:hanging="360"/>
      </w:pPr>
    </w:lvl>
    <w:lvl w:ilvl="8" w:tplc="44E8F4EE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7913D8"/>
    <w:multiLevelType w:val="hybridMultilevel"/>
    <w:tmpl w:val="042EBA5A"/>
    <w:lvl w:ilvl="0" w:tplc="B27818F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F425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F887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4CA6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1A0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B692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8EC0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F6D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E65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1C3B2A"/>
    <w:multiLevelType w:val="hybridMultilevel"/>
    <w:tmpl w:val="FBC8E93E"/>
    <w:lvl w:ilvl="0" w:tplc="8DEE773C">
      <w:start w:val="3"/>
      <w:numFmt w:val="decimal"/>
      <w:lvlText w:val="%1"/>
      <w:lvlJc w:val="left"/>
      <w:pPr>
        <w:ind w:left="1080" w:hanging="360"/>
      </w:pPr>
      <w:rPr>
        <w:rFonts w:eastAsia="Times New Roman"/>
      </w:rPr>
    </w:lvl>
    <w:lvl w:ilvl="1" w:tplc="A7DAE458">
      <w:start w:val="1"/>
      <w:numFmt w:val="lowerLetter"/>
      <w:lvlText w:val="%2."/>
      <w:lvlJc w:val="left"/>
      <w:pPr>
        <w:ind w:left="1800" w:hanging="360"/>
      </w:pPr>
    </w:lvl>
    <w:lvl w:ilvl="2" w:tplc="9A10C664">
      <w:start w:val="1"/>
      <w:numFmt w:val="lowerRoman"/>
      <w:lvlText w:val="%3."/>
      <w:lvlJc w:val="right"/>
      <w:pPr>
        <w:ind w:left="2520" w:hanging="180"/>
      </w:pPr>
    </w:lvl>
    <w:lvl w:ilvl="3" w:tplc="667631AA">
      <w:start w:val="1"/>
      <w:numFmt w:val="decimal"/>
      <w:lvlText w:val="%4."/>
      <w:lvlJc w:val="left"/>
      <w:pPr>
        <w:ind w:left="3240" w:hanging="360"/>
      </w:pPr>
    </w:lvl>
    <w:lvl w:ilvl="4" w:tplc="C9FC72E6">
      <w:start w:val="1"/>
      <w:numFmt w:val="lowerLetter"/>
      <w:lvlText w:val="%5."/>
      <w:lvlJc w:val="left"/>
      <w:pPr>
        <w:ind w:left="3960" w:hanging="360"/>
      </w:pPr>
    </w:lvl>
    <w:lvl w:ilvl="5" w:tplc="7EFC0AAE">
      <w:start w:val="1"/>
      <w:numFmt w:val="lowerRoman"/>
      <w:lvlText w:val="%6."/>
      <w:lvlJc w:val="right"/>
      <w:pPr>
        <w:ind w:left="4680" w:hanging="180"/>
      </w:pPr>
    </w:lvl>
    <w:lvl w:ilvl="6" w:tplc="3AC87006">
      <w:start w:val="1"/>
      <w:numFmt w:val="decimal"/>
      <w:lvlText w:val="%7."/>
      <w:lvlJc w:val="left"/>
      <w:pPr>
        <w:ind w:left="5400" w:hanging="360"/>
      </w:pPr>
    </w:lvl>
    <w:lvl w:ilvl="7" w:tplc="FA52B608">
      <w:start w:val="1"/>
      <w:numFmt w:val="lowerLetter"/>
      <w:lvlText w:val="%8."/>
      <w:lvlJc w:val="left"/>
      <w:pPr>
        <w:ind w:left="6120" w:hanging="360"/>
      </w:pPr>
    </w:lvl>
    <w:lvl w:ilvl="8" w:tplc="090444E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94E0D"/>
    <w:multiLevelType w:val="hybridMultilevel"/>
    <w:tmpl w:val="2C6211E4"/>
    <w:lvl w:ilvl="0" w:tplc="BC8483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D0784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0EF8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64F8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246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B38F9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48F1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D49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423D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984A11"/>
    <w:multiLevelType w:val="hybridMultilevel"/>
    <w:tmpl w:val="468CE094"/>
    <w:lvl w:ilvl="0" w:tplc="4FDE5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5A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834D0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009D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428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2EA2C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0E9A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04DC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A236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8C174ED"/>
    <w:multiLevelType w:val="multilevel"/>
    <w:tmpl w:val="5E72C370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2"/>
      <w:numFmt w:val="decimal"/>
      <w:lvlText w:val="%1.%2."/>
      <w:lvlJc w:val="left"/>
      <w:pPr>
        <w:ind w:left="930" w:hanging="360"/>
      </w:pPr>
    </w:lvl>
    <w:lvl w:ilvl="2">
      <w:start w:val="1"/>
      <w:numFmt w:val="decimal"/>
      <w:lvlText w:val="%1.%2.%3."/>
      <w:lvlJc w:val="left"/>
      <w:pPr>
        <w:ind w:left="1290" w:hanging="720"/>
      </w:pPr>
    </w:lvl>
    <w:lvl w:ilvl="3">
      <w:start w:val="1"/>
      <w:numFmt w:val="decimal"/>
      <w:lvlText w:val="%1.%2.%3.%4."/>
      <w:lvlJc w:val="left"/>
      <w:pPr>
        <w:ind w:left="1290" w:hanging="720"/>
      </w:pPr>
    </w:lvl>
    <w:lvl w:ilvl="4">
      <w:start w:val="1"/>
      <w:numFmt w:val="decimal"/>
      <w:lvlText w:val="%1.%2.%3.%4.%5."/>
      <w:lvlJc w:val="left"/>
      <w:pPr>
        <w:ind w:left="1650" w:hanging="1080"/>
      </w:pPr>
    </w:lvl>
    <w:lvl w:ilvl="5">
      <w:start w:val="1"/>
      <w:numFmt w:val="decimal"/>
      <w:lvlText w:val="%1.%2.%3.%4.%5.%6."/>
      <w:lvlJc w:val="left"/>
      <w:pPr>
        <w:ind w:left="1650" w:hanging="1080"/>
      </w:pPr>
    </w:lvl>
    <w:lvl w:ilvl="6">
      <w:start w:val="1"/>
      <w:numFmt w:val="decimal"/>
      <w:lvlText w:val="%1.%2.%3.%4.%5.%6.%7."/>
      <w:lvlJc w:val="left"/>
      <w:pPr>
        <w:ind w:left="2010" w:hanging="1440"/>
      </w:pPr>
    </w:lvl>
    <w:lvl w:ilvl="7">
      <w:start w:val="1"/>
      <w:numFmt w:val="decimal"/>
      <w:lvlText w:val="%1.%2.%3.%4.%5.%6.%7.%8."/>
      <w:lvlJc w:val="left"/>
      <w:pPr>
        <w:ind w:left="2010" w:hanging="1440"/>
      </w:pPr>
    </w:lvl>
    <w:lvl w:ilvl="8">
      <w:start w:val="1"/>
      <w:numFmt w:val="decimal"/>
      <w:lvlText w:val="%1.%2.%3.%4.%5.%6.%7.%8.%9."/>
      <w:lvlJc w:val="left"/>
      <w:pPr>
        <w:ind w:left="2370" w:hanging="1800"/>
      </w:pPr>
    </w:lvl>
  </w:abstractNum>
  <w:abstractNum w:abstractNumId="7" w15:restartNumberingAfterBreak="0">
    <w:nsid w:val="469E6CAC"/>
    <w:multiLevelType w:val="hybridMultilevel"/>
    <w:tmpl w:val="AEACAD0A"/>
    <w:lvl w:ilvl="0" w:tplc="0616D0E0">
      <w:start w:val="1"/>
      <w:numFmt w:val="decimal"/>
      <w:lvlText w:val="%1."/>
      <w:lvlJc w:val="left"/>
      <w:pPr>
        <w:ind w:left="1069" w:hanging="360"/>
      </w:pPr>
    </w:lvl>
    <w:lvl w:ilvl="1" w:tplc="B5109502">
      <w:start w:val="1"/>
      <w:numFmt w:val="lowerLetter"/>
      <w:lvlText w:val="%2."/>
      <w:lvlJc w:val="left"/>
      <w:pPr>
        <w:ind w:left="1789" w:hanging="360"/>
      </w:pPr>
    </w:lvl>
    <w:lvl w:ilvl="2" w:tplc="E668C0F6">
      <w:start w:val="1"/>
      <w:numFmt w:val="lowerRoman"/>
      <w:lvlText w:val="%3."/>
      <w:lvlJc w:val="right"/>
      <w:pPr>
        <w:ind w:left="2509" w:hanging="180"/>
      </w:pPr>
    </w:lvl>
    <w:lvl w:ilvl="3" w:tplc="3BF23DDC">
      <w:start w:val="1"/>
      <w:numFmt w:val="decimal"/>
      <w:lvlText w:val="%4."/>
      <w:lvlJc w:val="left"/>
      <w:pPr>
        <w:ind w:left="3229" w:hanging="360"/>
      </w:pPr>
    </w:lvl>
    <w:lvl w:ilvl="4" w:tplc="7AFEC7E6">
      <w:start w:val="1"/>
      <w:numFmt w:val="lowerLetter"/>
      <w:lvlText w:val="%5."/>
      <w:lvlJc w:val="left"/>
      <w:pPr>
        <w:ind w:left="3949" w:hanging="360"/>
      </w:pPr>
    </w:lvl>
    <w:lvl w:ilvl="5" w:tplc="5D40E2B6">
      <w:start w:val="1"/>
      <w:numFmt w:val="lowerRoman"/>
      <w:lvlText w:val="%6."/>
      <w:lvlJc w:val="right"/>
      <w:pPr>
        <w:ind w:left="4669" w:hanging="180"/>
      </w:pPr>
    </w:lvl>
    <w:lvl w:ilvl="6" w:tplc="E158A326">
      <w:start w:val="1"/>
      <w:numFmt w:val="decimal"/>
      <w:lvlText w:val="%7."/>
      <w:lvlJc w:val="left"/>
      <w:pPr>
        <w:ind w:left="5389" w:hanging="360"/>
      </w:pPr>
    </w:lvl>
    <w:lvl w:ilvl="7" w:tplc="837A4606">
      <w:start w:val="1"/>
      <w:numFmt w:val="lowerLetter"/>
      <w:lvlText w:val="%8."/>
      <w:lvlJc w:val="left"/>
      <w:pPr>
        <w:ind w:left="6109" w:hanging="360"/>
      </w:pPr>
    </w:lvl>
    <w:lvl w:ilvl="8" w:tplc="B3126E7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3C1D9D"/>
    <w:multiLevelType w:val="multilevel"/>
    <w:tmpl w:val="2A86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389" w:hanging="720"/>
      </w:pPr>
    </w:lvl>
    <w:lvl w:ilvl="4">
      <w:start w:val="1"/>
      <w:numFmt w:val="decimal"/>
      <w:lvlText w:val="%1.%2.%3.%4.%5."/>
      <w:lvlJc w:val="left"/>
      <w:pPr>
        <w:ind w:left="1852" w:hanging="1080"/>
      </w:pPr>
    </w:lvl>
    <w:lvl w:ilvl="5">
      <w:start w:val="1"/>
      <w:numFmt w:val="decimal"/>
      <w:lvlText w:val="%1.%2.%3.%4.%5.%6."/>
      <w:lvlJc w:val="left"/>
      <w:pPr>
        <w:ind w:left="1955" w:hanging="1080"/>
      </w:pPr>
    </w:lvl>
    <w:lvl w:ilvl="6">
      <w:start w:val="1"/>
      <w:numFmt w:val="decimal"/>
      <w:lvlText w:val="%1.%2.%3.%4.%5.%6.%7."/>
      <w:lvlJc w:val="left"/>
      <w:pPr>
        <w:ind w:left="2418" w:hanging="1440"/>
      </w:pPr>
    </w:lvl>
    <w:lvl w:ilvl="7">
      <w:start w:val="1"/>
      <w:numFmt w:val="decimal"/>
      <w:lvlText w:val="%1.%2.%3.%4.%5.%6.%7.%8."/>
      <w:lvlJc w:val="left"/>
      <w:pPr>
        <w:ind w:left="2521" w:hanging="1440"/>
      </w:pPr>
    </w:lvl>
    <w:lvl w:ilvl="8">
      <w:start w:val="1"/>
      <w:numFmt w:val="decimal"/>
      <w:lvlText w:val="%1.%2.%3.%4.%5.%6.%7.%8.%9."/>
      <w:lvlJc w:val="left"/>
      <w:pPr>
        <w:ind w:left="2984" w:hanging="1800"/>
      </w:pPr>
    </w:lvl>
  </w:abstractNum>
  <w:abstractNum w:abstractNumId="9" w15:restartNumberingAfterBreak="0">
    <w:nsid w:val="5442417C"/>
    <w:multiLevelType w:val="multilevel"/>
    <w:tmpl w:val="760A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389" w:hanging="720"/>
      </w:pPr>
    </w:lvl>
    <w:lvl w:ilvl="4">
      <w:start w:val="1"/>
      <w:numFmt w:val="decimal"/>
      <w:lvlText w:val="%1.%2.%3.%4.%5."/>
      <w:lvlJc w:val="left"/>
      <w:pPr>
        <w:ind w:left="1852" w:hanging="1080"/>
      </w:pPr>
    </w:lvl>
    <w:lvl w:ilvl="5">
      <w:start w:val="1"/>
      <w:numFmt w:val="decimal"/>
      <w:lvlText w:val="%1.%2.%3.%4.%5.%6."/>
      <w:lvlJc w:val="left"/>
      <w:pPr>
        <w:ind w:left="1955" w:hanging="1080"/>
      </w:pPr>
    </w:lvl>
    <w:lvl w:ilvl="6">
      <w:start w:val="1"/>
      <w:numFmt w:val="decimal"/>
      <w:lvlText w:val="%1.%2.%3.%4.%5.%6.%7."/>
      <w:lvlJc w:val="left"/>
      <w:pPr>
        <w:ind w:left="2418" w:hanging="1440"/>
      </w:pPr>
    </w:lvl>
    <w:lvl w:ilvl="7">
      <w:start w:val="1"/>
      <w:numFmt w:val="decimal"/>
      <w:lvlText w:val="%1.%2.%3.%4.%5.%6.%7.%8."/>
      <w:lvlJc w:val="left"/>
      <w:pPr>
        <w:ind w:left="2521" w:hanging="1440"/>
      </w:pPr>
    </w:lvl>
    <w:lvl w:ilvl="8">
      <w:start w:val="1"/>
      <w:numFmt w:val="decimal"/>
      <w:lvlText w:val="%1.%2.%3.%4.%5.%6.%7.%8.%9."/>
      <w:lvlJc w:val="left"/>
      <w:pPr>
        <w:ind w:left="2984" w:hanging="1800"/>
      </w:pPr>
    </w:lvl>
  </w:abstractNum>
  <w:abstractNum w:abstractNumId="10" w15:restartNumberingAfterBreak="0">
    <w:nsid w:val="5A5B0D2C"/>
    <w:multiLevelType w:val="hybridMultilevel"/>
    <w:tmpl w:val="F222AB3E"/>
    <w:lvl w:ilvl="0" w:tplc="F4CA812C">
      <w:start w:val="1"/>
      <w:numFmt w:val="decimal"/>
      <w:lvlText w:val="%1."/>
      <w:lvlJc w:val="left"/>
      <w:pPr>
        <w:ind w:left="927" w:hanging="360"/>
      </w:pPr>
    </w:lvl>
    <w:lvl w:ilvl="1" w:tplc="EB8CFEA4">
      <w:start w:val="1"/>
      <w:numFmt w:val="lowerLetter"/>
      <w:lvlText w:val="%2."/>
      <w:lvlJc w:val="left"/>
      <w:pPr>
        <w:ind w:left="1647" w:hanging="360"/>
      </w:pPr>
    </w:lvl>
    <w:lvl w:ilvl="2" w:tplc="A42C9980">
      <w:start w:val="1"/>
      <w:numFmt w:val="lowerRoman"/>
      <w:lvlText w:val="%3."/>
      <w:lvlJc w:val="right"/>
      <w:pPr>
        <w:ind w:left="2367" w:hanging="180"/>
      </w:pPr>
    </w:lvl>
    <w:lvl w:ilvl="3" w:tplc="3C9EDF18">
      <w:start w:val="1"/>
      <w:numFmt w:val="decimal"/>
      <w:lvlText w:val="%4."/>
      <w:lvlJc w:val="left"/>
      <w:pPr>
        <w:ind w:left="3087" w:hanging="360"/>
      </w:pPr>
    </w:lvl>
    <w:lvl w:ilvl="4" w:tplc="4AFAD1F4">
      <w:start w:val="1"/>
      <w:numFmt w:val="lowerLetter"/>
      <w:lvlText w:val="%5."/>
      <w:lvlJc w:val="left"/>
      <w:pPr>
        <w:ind w:left="3807" w:hanging="360"/>
      </w:pPr>
    </w:lvl>
    <w:lvl w:ilvl="5" w:tplc="39921DA6">
      <w:start w:val="1"/>
      <w:numFmt w:val="lowerRoman"/>
      <w:lvlText w:val="%6."/>
      <w:lvlJc w:val="right"/>
      <w:pPr>
        <w:ind w:left="4527" w:hanging="180"/>
      </w:pPr>
    </w:lvl>
    <w:lvl w:ilvl="6" w:tplc="CDC6CEEA">
      <w:start w:val="1"/>
      <w:numFmt w:val="decimal"/>
      <w:lvlText w:val="%7."/>
      <w:lvlJc w:val="left"/>
      <w:pPr>
        <w:ind w:left="5247" w:hanging="360"/>
      </w:pPr>
    </w:lvl>
    <w:lvl w:ilvl="7" w:tplc="7166DB06">
      <w:start w:val="1"/>
      <w:numFmt w:val="lowerLetter"/>
      <w:lvlText w:val="%8."/>
      <w:lvlJc w:val="left"/>
      <w:pPr>
        <w:ind w:left="5967" w:hanging="360"/>
      </w:pPr>
    </w:lvl>
    <w:lvl w:ilvl="8" w:tplc="2DB6FC0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F155E6"/>
    <w:multiLevelType w:val="hybridMultilevel"/>
    <w:tmpl w:val="4C1C49DE"/>
    <w:lvl w:ilvl="0" w:tplc="2B4EC602">
      <w:start w:val="1"/>
      <w:numFmt w:val="decimal"/>
      <w:lvlText w:val="%1."/>
      <w:lvlJc w:val="left"/>
      <w:pPr>
        <w:ind w:left="927" w:hanging="360"/>
      </w:pPr>
    </w:lvl>
    <w:lvl w:ilvl="1" w:tplc="CFAC8FB4">
      <w:start w:val="1"/>
      <w:numFmt w:val="lowerLetter"/>
      <w:lvlText w:val="%2."/>
      <w:lvlJc w:val="left"/>
      <w:pPr>
        <w:ind w:left="1647" w:hanging="360"/>
      </w:pPr>
    </w:lvl>
    <w:lvl w:ilvl="2" w:tplc="78386376">
      <w:start w:val="1"/>
      <w:numFmt w:val="lowerRoman"/>
      <w:lvlText w:val="%3."/>
      <w:lvlJc w:val="right"/>
      <w:pPr>
        <w:ind w:left="2367" w:hanging="180"/>
      </w:pPr>
    </w:lvl>
    <w:lvl w:ilvl="3" w:tplc="353C8E9C">
      <w:start w:val="1"/>
      <w:numFmt w:val="decimal"/>
      <w:lvlText w:val="%4."/>
      <w:lvlJc w:val="left"/>
      <w:pPr>
        <w:ind w:left="3087" w:hanging="360"/>
      </w:pPr>
    </w:lvl>
    <w:lvl w:ilvl="4" w:tplc="57E2EA12">
      <w:start w:val="1"/>
      <w:numFmt w:val="lowerLetter"/>
      <w:lvlText w:val="%5."/>
      <w:lvlJc w:val="left"/>
      <w:pPr>
        <w:ind w:left="3807" w:hanging="360"/>
      </w:pPr>
    </w:lvl>
    <w:lvl w:ilvl="5" w:tplc="709CAE4A">
      <w:start w:val="1"/>
      <w:numFmt w:val="lowerRoman"/>
      <w:lvlText w:val="%6."/>
      <w:lvlJc w:val="right"/>
      <w:pPr>
        <w:ind w:left="4527" w:hanging="180"/>
      </w:pPr>
    </w:lvl>
    <w:lvl w:ilvl="6" w:tplc="DC7E49CA">
      <w:start w:val="1"/>
      <w:numFmt w:val="decimal"/>
      <w:lvlText w:val="%7."/>
      <w:lvlJc w:val="left"/>
      <w:pPr>
        <w:ind w:left="5247" w:hanging="360"/>
      </w:pPr>
    </w:lvl>
    <w:lvl w:ilvl="7" w:tplc="352A0EC4">
      <w:start w:val="1"/>
      <w:numFmt w:val="lowerLetter"/>
      <w:lvlText w:val="%8."/>
      <w:lvlJc w:val="left"/>
      <w:pPr>
        <w:ind w:left="5967" w:hanging="360"/>
      </w:pPr>
    </w:lvl>
    <w:lvl w:ilvl="8" w:tplc="D23E212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EC628A"/>
    <w:multiLevelType w:val="hybridMultilevel"/>
    <w:tmpl w:val="3F8C32B6"/>
    <w:lvl w:ilvl="0" w:tplc="FD1CBBF2">
      <w:start w:val="1"/>
      <w:numFmt w:val="decimal"/>
      <w:lvlText w:val="%1)"/>
      <w:lvlJc w:val="left"/>
      <w:pPr>
        <w:ind w:left="927" w:hanging="360"/>
      </w:pPr>
    </w:lvl>
    <w:lvl w:ilvl="1" w:tplc="E1529664">
      <w:start w:val="1"/>
      <w:numFmt w:val="lowerLetter"/>
      <w:lvlText w:val="%2."/>
      <w:lvlJc w:val="left"/>
      <w:pPr>
        <w:ind w:left="1647" w:hanging="360"/>
      </w:pPr>
    </w:lvl>
    <w:lvl w:ilvl="2" w:tplc="23524284">
      <w:start w:val="1"/>
      <w:numFmt w:val="lowerRoman"/>
      <w:lvlText w:val="%3."/>
      <w:lvlJc w:val="right"/>
      <w:pPr>
        <w:ind w:left="2367" w:hanging="180"/>
      </w:pPr>
    </w:lvl>
    <w:lvl w:ilvl="3" w:tplc="3A5AE87E">
      <w:start w:val="1"/>
      <w:numFmt w:val="decimal"/>
      <w:lvlText w:val="%4."/>
      <w:lvlJc w:val="left"/>
      <w:pPr>
        <w:ind w:left="3087" w:hanging="360"/>
      </w:pPr>
    </w:lvl>
    <w:lvl w:ilvl="4" w:tplc="E728AF3C">
      <w:start w:val="1"/>
      <w:numFmt w:val="lowerLetter"/>
      <w:lvlText w:val="%5."/>
      <w:lvlJc w:val="left"/>
      <w:pPr>
        <w:ind w:left="3807" w:hanging="360"/>
      </w:pPr>
    </w:lvl>
    <w:lvl w:ilvl="5" w:tplc="3DA4130E">
      <w:start w:val="1"/>
      <w:numFmt w:val="lowerRoman"/>
      <w:lvlText w:val="%6."/>
      <w:lvlJc w:val="right"/>
      <w:pPr>
        <w:ind w:left="4527" w:hanging="180"/>
      </w:pPr>
    </w:lvl>
    <w:lvl w:ilvl="6" w:tplc="8180696A">
      <w:start w:val="1"/>
      <w:numFmt w:val="decimal"/>
      <w:lvlText w:val="%7."/>
      <w:lvlJc w:val="left"/>
      <w:pPr>
        <w:ind w:left="5247" w:hanging="360"/>
      </w:pPr>
    </w:lvl>
    <w:lvl w:ilvl="7" w:tplc="A6E2D13E">
      <w:start w:val="1"/>
      <w:numFmt w:val="lowerLetter"/>
      <w:lvlText w:val="%8."/>
      <w:lvlJc w:val="left"/>
      <w:pPr>
        <w:ind w:left="5967" w:hanging="360"/>
      </w:pPr>
    </w:lvl>
    <w:lvl w:ilvl="8" w:tplc="D380750E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6F56D1"/>
    <w:multiLevelType w:val="multilevel"/>
    <w:tmpl w:val="77FEBAE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hAnsi="Arial"/>
        <w:sz w:val="20"/>
      </w:rPr>
    </w:lvl>
    <w:lvl w:ilvl="2">
      <w:start w:val="1"/>
      <w:numFmt w:val="decimal"/>
      <w:lvlText w:val="%1.%2.%3."/>
      <w:lvlJc w:val="left"/>
      <w:pPr>
        <w:ind w:left="2007" w:hanging="720"/>
      </w:pPr>
      <w:rPr>
        <w:rFonts w:ascii="Arial" w:hAnsi="Arial"/>
        <w:sz w:val="20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ascii="Arial" w:hAnsi="Arial"/>
        <w:sz w:val="20"/>
      </w:rPr>
    </w:lvl>
    <w:lvl w:ilvl="4">
      <w:start w:val="1"/>
      <w:numFmt w:val="decimal"/>
      <w:lvlText w:val="%1.%2.%3.%4.%5."/>
      <w:lvlJc w:val="left"/>
      <w:pPr>
        <w:ind w:left="3087" w:hanging="1080"/>
      </w:pPr>
      <w:rPr>
        <w:rFonts w:ascii="Arial" w:hAnsi="Arial"/>
        <w:sz w:val="20"/>
      </w:rPr>
    </w:lvl>
    <w:lvl w:ilvl="5">
      <w:start w:val="1"/>
      <w:numFmt w:val="decimal"/>
      <w:lvlText w:val="%1.%2.%3.%4.%5.%6."/>
      <w:lvlJc w:val="left"/>
      <w:pPr>
        <w:ind w:left="3447" w:hanging="1080"/>
      </w:pPr>
      <w:rPr>
        <w:rFonts w:ascii="Arial" w:hAnsi="Arial"/>
        <w:sz w:val="20"/>
      </w:rPr>
    </w:lvl>
    <w:lvl w:ilvl="6">
      <w:start w:val="1"/>
      <w:numFmt w:val="decimal"/>
      <w:lvlText w:val="%1.%2.%3.%4.%5.%6.%7."/>
      <w:lvlJc w:val="left"/>
      <w:pPr>
        <w:ind w:left="4167" w:hanging="1440"/>
      </w:pPr>
      <w:rPr>
        <w:rFonts w:ascii="Arial" w:hAnsi="Arial"/>
        <w:sz w:val="20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rFonts w:ascii="Arial" w:hAnsi="Arial"/>
        <w:sz w:val="20"/>
      </w:rPr>
    </w:lvl>
    <w:lvl w:ilvl="8">
      <w:start w:val="1"/>
      <w:numFmt w:val="decimal"/>
      <w:lvlText w:val="%1.%2.%3.%4.%5.%6.%7.%8.%9."/>
      <w:lvlJc w:val="left"/>
      <w:pPr>
        <w:ind w:left="5247" w:hanging="1800"/>
      </w:pPr>
      <w:rPr>
        <w:rFonts w:ascii="Arial" w:hAnsi="Arial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A3"/>
    <w:rsid w:val="00BA6FFC"/>
    <w:rsid w:val="00F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6CE16-0849-46B5-84A1-AB925F6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.1"/>
    <w:pPr>
      <w:spacing w:after="20"/>
      <w:ind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fa">
    <w:name w:val="List Paragraph"/>
    <w:basedOn w:val="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/>
      <w:sz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ar-SA"/>
    </w:rPr>
  </w:style>
  <w:style w:type="character" w:customStyle="1" w:styleId="ab">
    <w:name w:val="Верхний колонтитул Знак"/>
    <w:link w:val="aa"/>
    <w:uiPriority w:val="99"/>
    <w:rPr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d">
    <w:name w:val="Ниж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styleId="af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3">
    <w:name w:val="Знак Знак3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3">
    <w:name w:val="Текст сноски Знак"/>
    <w:link w:val="af2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lang w:eastAsia="ru-RU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Body Text"/>
    <w:basedOn w:val="a"/>
    <w:link w:val="aff2"/>
    <w:uiPriority w:val="99"/>
    <w:unhideWhenUsed/>
    <w:pPr>
      <w:spacing w:after="120"/>
    </w:pPr>
  </w:style>
  <w:style w:type="character" w:customStyle="1" w:styleId="aff2">
    <w:name w:val="Основной текст Знак"/>
    <w:link w:val="aff1"/>
    <w:uiPriority w:val="99"/>
    <w:rPr>
      <w:sz w:val="22"/>
      <w:szCs w:val="22"/>
      <w:lang w:eastAsia="en-US"/>
    </w:rPr>
  </w:style>
  <w:style w:type="paragraph" w:customStyle="1" w:styleId="34">
    <w:name w:val="Знак Знак3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customStyle="1" w:styleId="15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megio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9327</Words>
  <Characters>53168</Characters>
  <Application>Microsoft Office Word</Application>
  <DocSecurity>0</DocSecurity>
  <Lines>443</Lines>
  <Paragraphs>124</Paragraphs>
  <ScaleCrop>false</ScaleCrop>
  <Company>Администрация г.Мегион</Company>
  <LinksUpToDate>false</LinksUpToDate>
  <CharactersWithSpaces>62371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Бобрик Валентина Васильевна</dc:creator>
  <cp:lastModifiedBy>Заднепровская Виктория Сергеевна</cp:lastModifiedBy>
  <cp:revision>34</cp:revision>
  <dcterms:created xsi:type="dcterms:W3CDTF">2025-02-10T09:39:00Z</dcterms:created>
  <dcterms:modified xsi:type="dcterms:W3CDTF">2026-02-09T05:55:00Z</dcterms:modified>
  <cp:version>1048576</cp:version>
</cp:coreProperties>
</file>