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0"/>
        <w:spacing w:after="0" w:line="240" w:lineRule="auto"/>
        <w:rPr>
          <w:rFonts w:ascii="Garamond" w:hAnsi="Garamond" w:eastAsia="Times New Roman"/>
          <w:b/>
          <w:sz w:val="20"/>
          <w:szCs w:val="20"/>
          <w:lang w:eastAsia="ru-RU"/>
        </w:rPr>
      </w:pPr>
      <w:r>
        <w:rPr>
          <w:rFonts w:ascii="Garamond" w:hAnsi="Garamond" w:eastAsia="Times New Roman"/>
          <w:b/>
          <w:sz w:val="20"/>
          <w:szCs w:val="20"/>
          <w:lang w:eastAsia="ru-RU"/>
        </w:rPr>
        <w:t xml:space="preserve">                                                                                  </w:t>
      </w:r>
      <w:r>
        <w:rPr>
          <w:rFonts w:ascii="Garamond" w:hAnsi="Garamond" w:eastAsia="Times New Roman"/>
          <w:b/>
          <w:sz w:val="20"/>
          <w:szCs w:val="20"/>
          <w:lang w:eastAsia="ru-RU"/>
        </w:rPr>
      </w:r>
      <w:r/>
      <w:r/>
      <w:r>
        <w:rPr>
          <w:rFonts w:ascii="Garamond" w:hAnsi="Garamond" w:eastAsia="Times New Roman"/>
          <w:b/>
          <w:sz w:val="20"/>
          <w:szCs w:val="20"/>
          <w:lang w:eastAsia="ru-RU"/>
        </w:rPr>
      </w:r>
      <w:r/>
      <w:r/>
      <w:r>
        <w:rPr>
          <w:rFonts w:ascii="Garamond" w:hAnsi="Garamond" w:eastAsia="Times New Roman"/>
          <w:b/>
          <w:sz w:val="20"/>
          <w:szCs w:val="20"/>
          <w:lang w:eastAsia="ru-RU"/>
        </w:rPr>
      </w:r>
      <w:r/>
      <w:r/>
      <w:r>
        <w:rPr>
          <w:rFonts w:ascii="Garamond" w:hAnsi="Garamond" w:eastAsia="Times New Roman"/>
          <w:b/>
          <w:sz w:val="20"/>
          <w:szCs w:val="20"/>
          <w:lang w:eastAsia="ru-RU"/>
        </w:rPr>
      </w:r>
      <w:r/>
      <w:r/>
      <w:r>
        <w:rPr>
          <w:rFonts w:ascii="Garamond" w:hAnsi="Garamond" w:eastAsia="Times New Roman"/>
          <w:b/>
          <w:sz w:val="20"/>
          <w:szCs w:val="20"/>
          <w:lang w:eastAsia="ru-RU"/>
        </w:rPr>
      </w:r>
      <w:r/>
      <w:r/>
      <w:r>
        <w:rPr>
          <w:rFonts w:ascii="Garamond" w:hAnsi="Garamond" w:eastAsia="Times New Roman"/>
          <w:b/>
          <w:sz w:val="20"/>
          <w:szCs w:val="20"/>
          <w:lang w:eastAsia="ru-RU"/>
        </w:rPr>
      </w:r>
      <w:r/>
      <w:r/>
      <w:r>
        <w:rPr>
          <w:rFonts w:ascii="Garamond" w:hAnsi="Garamond" w:eastAsia="Times New Roman"/>
          <w:b/>
          <w:sz w:val="20"/>
          <w:szCs w:val="20"/>
          <w:lang w:eastAsia="ru-RU"/>
        </w:rPr>
      </w:r>
      <w:r/>
      <w:r/>
      <w:r>
        <w:rPr>
          <w:rFonts w:ascii="Garamond" w:hAnsi="Garamond" w:eastAsia="Times New Roman"/>
          <w:b/>
          <w:sz w:val="20"/>
          <w:szCs w:val="20"/>
          <w:lang w:eastAsia="ru-RU"/>
        </w:rPr>
      </w:r>
    </w:p>
    <w:p>
      <w:pPr>
        <w:ind w:left="6803" w:right="0" w:firstLine="0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Приложение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Думы</w:t>
      </w:r>
      <w:r>
        <w:t xml:space="preserve">  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города Мегиона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от </w:t>
      </w:r>
      <w:r>
        <w:rPr>
          <w:rFonts w:ascii="Times New Roman" w:hAnsi="Times New Roman"/>
          <w:bCs/>
          <w:sz w:val="24"/>
          <w:szCs w:val="24"/>
        </w:rPr>
        <w:t xml:space="preserve">20.08.</w:t>
      </w:r>
      <w:r>
        <w:rPr>
          <w:rFonts w:ascii="Times New Roman" w:hAnsi="Times New Roman"/>
          <w:bCs/>
          <w:sz w:val="24"/>
          <w:szCs w:val="24"/>
        </w:rPr>
        <w:t xml:space="preserve">202</w:t>
      </w:r>
      <w:r>
        <w:rPr>
          <w:rFonts w:ascii="Times New Roman" w:hAnsi="Times New Roman"/>
          <w:bCs/>
          <w:sz w:val="24"/>
          <w:szCs w:val="24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№ 470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r/>
      <w:r/>
    </w:p>
    <w:p>
      <w:pPr>
        <w:contextualSpacing/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Изменения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решение Думы города Мегиона от 26.09.2014 № 434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Регламенте Думы города Мегиона» (с изменениями)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0" w:right="0" w:firstLine="567"/>
        <w:spacing w:after="0" w:afterAutospacing="0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главе 2 Регламента Думы города Мегиона: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0" w:right="0" w:firstLine="567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Пункт 2 статьи 6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изложить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в следующей редакции: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0"/>
        <w:ind w:left="0" w:right="0" w:firstLine="567"/>
        <w:jc w:val="both"/>
        <w:spacing w:after="0" w:line="240" w:lineRule="auto"/>
        <w:outlineLvl w:val="0"/>
      </w:pPr>
      <w:r>
        <w:rPr>
          <w:rFonts w:ascii="Times New Roman" w:hAnsi="Times New Roman"/>
          <w:sz w:val="24"/>
          <w:szCs w:val="24"/>
        </w:rPr>
        <w:t xml:space="preserve">«2. Депутаты Думы города осуществляют свои полномочия, как правило,</w:t>
      </w:r>
      <w:r>
        <w:rPr>
          <w:rFonts w:ascii="Times New Roman" w:hAnsi="Times New Roman"/>
          <w:sz w:val="24"/>
          <w:szCs w:val="24"/>
        </w:rPr>
        <w:t xml:space="preserve"> на непостоянной основе.</w:t>
      </w:r>
      <w:r/>
    </w:p>
    <w:p>
      <w:pPr>
        <w:pStyle w:val="870"/>
        <w:ind w:left="0" w:right="0"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На постоянной основе вправе осуществлять свою деятельность один депутат. </w:t>
      </w:r>
      <w:r>
        <w:rPr>
          <w:rFonts w:ascii="Times New Roman" w:hAnsi="Times New Roman"/>
          <w:sz w:val="24"/>
          <w:szCs w:val="24"/>
        </w:rPr>
        <w:t xml:space="preserve">Депутат, осуществляющий свои полномочия на постоянной основе, определяется решением Думы. Осуществлять обязанности депутата на постоянной основе может только депутат, избранный решением Думы на должность председателя Думы или заместителя председателя Думы.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70"/>
        <w:ind w:left="0" w:right="0"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Решение Думы об осуществлении обязанност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депутата на постоянной основе принимается на первом заседании Думы перед избранием</w:t>
      </w:r>
      <w:r>
        <w:rPr>
          <w:rFonts w:ascii="Times New Roman" w:hAnsi="Times New Roman"/>
          <w:sz w:val="24"/>
          <w:szCs w:val="24"/>
        </w:rPr>
        <w:t xml:space="preserve"> председателя Думы и заместителя председателя Думы открытым голосованием.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0" w:right="0" w:firstLine="567"/>
        <w:jc w:val="both"/>
        <w:spacing w:after="0" w:afterAutospacing="0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ешение Думы считается принятым, если за него проголосовало не менее 11</w:t>
      </w:r>
      <w:r>
        <w:rPr>
          <w:rFonts w:ascii="Times New Roman" w:hAnsi="Times New Roman"/>
          <w:sz w:val="24"/>
          <w:szCs w:val="24"/>
        </w:rPr>
        <w:t xml:space="preserve"> депутатов Думы.»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0" w:right="0" w:firstLine="567"/>
        <w:jc w:val="both"/>
        <w:spacing w:after="0" w:afterAutospacing="0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2.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Пункт 4 статьи 17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изложить в следующей редакции: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left="0" w:right="0" w:firstLine="567"/>
        <w:jc w:val="both"/>
        <w:spacing w:after="0" w:afterAutospacing="0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«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4. На первом заседании Думы рассматриваются вопросы: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0" w:right="0" w:firstLine="567"/>
        <w:jc w:val="both"/>
        <w:spacing w:after="0" w:afterAutospacing="0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1)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об осуществлении обязанност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депутата на постоянной основе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;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left="0" w:right="0" w:firstLine="567"/>
        <w:jc w:val="both"/>
        <w:spacing w:after="0" w:afterAutospacing="0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2) об избрании председателя Думы;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left="0" w:right="0" w:firstLine="567"/>
        <w:jc w:val="both"/>
        <w:spacing w:after="0" w:afterAutospacing="0"/>
      </w:pPr>
      <w:r>
        <w:rPr>
          <w:rFonts w:ascii="Times New Roman" w:hAnsi="Times New Roman"/>
          <w:sz w:val="24"/>
          <w:szCs w:val="24"/>
          <w:highlight w:val="none"/>
        </w:rPr>
        <w:t xml:space="preserve">3) об избрании заместителя председателя Думы;</w:t>
      </w:r>
      <w:r/>
    </w:p>
    <w:p>
      <w:pPr>
        <w:ind w:left="0" w:right="0" w:firstLine="567"/>
        <w:jc w:val="both"/>
        <w:spacing w:after="0" w:afterAutospacing="0"/>
      </w:pPr>
      <w:r>
        <w:rPr>
          <w:rFonts w:ascii="Times New Roman" w:hAnsi="Times New Roman"/>
          <w:sz w:val="24"/>
          <w:szCs w:val="24"/>
          <w:highlight w:val="none"/>
        </w:rPr>
        <w:t xml:space="preserve">4) о структуре Думы;</w:t>
      </w:r>
      <w:r/>
    </w:p>
    <w:p>
      <w:pPr>
        <w:ind w:left="0" w:right="0" w:firstLine="567"/>
        <w:jc w:val="both"/>
        <w:spacing w:after="0" w:afterAutospacing="0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5) об образовании постоянных депутатских комиссий, их численном составе.».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0" w:right="0" w:firstLine="567"/>
        <w:jc w:val="both"/>
        <w:spacing w:after="0" w:afterAutospacing="0"/>
      </w:pPr>
      <w:r/>
      <w:r/>
    </w:p>
    <w:sectPr>
      <w:footnotePr/>
      <w:endnotePr/>
      <w:type w:val="nextPage"/>
      <w:pgSz w:w="11906" w:h="16838" w:orient="portrait"/>
      <w:pgMar w:top="1276" w:right="70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</w:font>
  <w:font w:name="Segoe UI">
    <w:panose1 w:val="020B0502040204020203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3" w:hanging="10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6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47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0"/>
  </w:num>
  <w:num w:numId="5">
    <w:abstractNumId w:val="7"/>
  </w:num>
  <w:num w:numId="6">
    <w:abstractNumId w:val="6"/>
  </w:num>
  <w:num w:numId="7">
    <w:abstractNumId w:val="15"/>
  </w:num>
  <w:num w:numId="8">
    <w:abstractNumId w:val="5"/>
  </w:num>
  <w:num w:numId="9">
    <w:abstractNumId w:val="13"/>
  </w:num>
  <w:num w:numId="10">
    <w:abstractNumId w:val="10"/>
  </w:num>
  <w:num w:numId="11">
    <w:abstractNumId w:val="14"/>
  </w:num>
  <w:num w:numId="12">
    <w:abstractNumId w:val="12"/>
  </w:num>
  <w:num w:numId="13">
    <w:abstractNumId w:val="1"/>
  </w:num>
  <w:num w:numId="14">
    <w:abstractNumId w:val="9"/>
  </w:num>
  <w:num w:numId="15">
    <w:abstractNumId w:val="8"/>
  </w:num>
  <w:num w:numId="16">
    <w:abstractNumId w:val="16"/>
  </w:num>
  <w:num w:numId="17">
    <w:abstractNumId w:val="2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0"/>
    <w:next w:val="870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0"/>
    <w:next w:val="870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0"/>
    <w:next w:val="870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70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70"/>
    <w:next w:val="870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link w:val="712"/>
    <w:uiPriority w:val="10"/>
    <w:rPr>
      <w:sz w:val="48"/>
      <w:szCs w:val="48"/>
    </w:rPr>
  </w:style>
  <w:style w:type="paragraph" w:styleId="714">
    <w:name w:val="Subtitle"/>
    <w:basedOn w:val="870"/>
    <w:next w:val="870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link w:val="714"/>
    <w:uiPriority w:val="11"/>
    <w:rPr>
      <w:sz w:val="24"/>
      <w:szCs w:val="24"/>
    </w:rPr>
  </w:style>
  <w:style w:type="paragraph" w:styleId="716">
    <w:name w:val="Quote"/>
    <w:basedOn w:val="870"/>
    <w:next w:val="870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0"/>
    <w:next w:val="870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0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link w:val="720"/>
    <w:uiPriority w:val="99"/>
  </w:style>
  <w:style w:type="paragraph" w:styleId="722">
    <w:name w:val="Footer"/>
    <w:basedOn w:val="870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link w:val="722"/>
    <w:uiPriority w:val="99"/>
  </w:style>
  <w:style w:type="paragraph" w:styleId="724">
    <w:name w:val="Caption"/>
    <w:basedOn w:val="870"/>
    <w:next w:val="870"/>
    <w:link w:val="7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next w:val="870"/>
    <w:link w:val="870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71">
    <w:name w:val="Заголовок 1"/>
    <w:basedOn w:val="870"/>
    <w:next w:val="871"/>
    <w:link w:val="875"/>
    <w:uiPriority w:val="9"/>
    <w:qFormat/>
    <w:pPr>
      <w:spacing w:after="120" w:line="240" w:lineRule="auto"/>
      <w:pBdr>
        <w:bottom w:val="single" w:color="C4C4C3" w:sz="6" w:space="11"/>
      </w:pBdr>
      <w:outlineLvl w:val="0"/>
    </w:pPr>
    <w:rPr>
      <w:rFonts w:ascii="Times New Roman" w:hAnsi="Times New Roman" w:eastAsia="Times New Roman"/>
      <w:b/>
      <w:bCs/>
      <w:color w:val="4f4f4f"/>
      <w:sz w:val="29"/>
      <w:szCs w:val="29"/>
      <w:lang w:eastAsia="ru-RU"/>
    </w:rPr>
  </w:style>
  <w:style w:type="character" w:styleId="872">
    <w:name w:val="Основной шрифт абзаца"/>
    <w:next w:val="872"/>
    <w:link w:val="870"/>
    <w:uiPriority w:val="1"/>
    <w:unhideWhenUsed/>
  </w:style>
  <w:style w:type="table" w:styleId="873">
    <w:name w:val="Обычная таблица"/>
    <w:next w:val="873"/>
    <w:link w:val="870"/>
    <w:uiPriority w:val="99"/>
    <w:semiHidden/>
    <w:unhideWhenUsed/>
    <w:tblPr/>
  </w:style>
  <w:style w:type="numbering" w:styleId="874">
    <w:name w:val="Нет списка"/>
    <w:next w:val="874"/>
    <w:link w:val="870"/>
    <w:uiPriority w:val="99"/>
    <w:semiHidden/>
    <w:unhideWhenUsed/>
  </w:style>
  <w:style w:type="character" w:styleId="875">
    <w:name w:val="Заголовок 1 Знак"/>
    <w:next w:val="875"/>
    <w:link w:val="871"/>
    <w:uiPriority w:val="9"/>
    <w:rPr>
      <w:rFonts w:ascii="Times New Roman" w:hAnsi="Times New Roman" w:eastAsia="Times New Roman"/>
      <w:b/>
      <w:bCs/>
      <w:color w:val="4f4f4f"/>
      <w:sz w:val="29"/>
      <w:szCs w:val="29"/>
    </w:rPr>
  </w:style>
  <w:style w:type="paragraph" w:styleId="876">
    <w:name w:val="Обычный (веб)"/>
    <w:basedOn w:val="870"/>
    <w:next w:val="876"/>
    <w:link w:val="87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77">
    <w:name w:val="Строгий"/>
    <w:next w:val="877"/>
    <w:link w:val="870"/>
    <w:uiPriority w:val="22"/>
    <w:qFormat/>
    <w:rPr>
      <w:b/>
      <w:bCs/>
    </w:rPr>
  </w:style>
  <w:style w:type="paragraph" w:styleId="878">
    <w:name w:val="ConsPlusNormal"/>
    <w:next w:val="878"/>
    <w:link w:val="870"/>
    <w:rPr>
      <w:rFonts w:ascii="Tahoma" w:hAnsi="Tahoma" w:cs="Tahoma"/>
      <w:sz w:val="18"/>
      <w:szCs w:val="18"/>
      <w:lang w:val="ru-RU" w:eastAsia="ru-RU" w:bidi="ar-SA"/>
    </w:rPr>
  </w:style>
  <w:style w:type="character" w:styleId="879">
    <w:name w:val="apple-converted-space"/>
    <w:next w:val="879"/>
    <w:link w:val="870"/>
  </w:style>
  <w:style w:type="paragraph" w:styleId="880">
    <w:name w:val="Текст выноски"/>
    <w:basedOn w:val="870"/>
    <w:next w:val="880"/>
    <w:link w:val="88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81">
    <w:name w:val="Текст выноски Знак"/>
    <w:next w:val="881"/>
    <w:link w:val="880"/>
    <w:uiPriority w:val="99"/>
    <w:semiHidden/>
    <w:rPr>
      <w:rFonts w:ascii="Segoe UI" w:hAnsi="Segoe UI" w:cs="Segoe UI"/>
      <w:sz w:val="18"/>
      <w:szCs w:val="18"/>
      <w:lang w:eastAsia="en-US"/>
    </w:rPr>
  </w:style>
  <w:style w:type="table" w:styleId="882">
    <w:name w:val="Сетка таблицы"/>
    <w:basedOn w:val="873"/>
    <w:next w:val="882"/>
    <w:link w:val="870"/>
    <w:uiPriority w:val="59"/>
    <w:tblPr/>
  </w:style>
  <w:style w:type="character" w:styleId="883" w:default="1">
    <w:name w:val="Default Paragraph Font"/>
    <w:uiPriority w:val="1"/>
    <w:semiHidden/>
    <w:unhideWhenUsed/>
  </w:style>
  <w:style w:type="numbering" w:styleId="884" w:default="1">
    <w:name w:val="No List"/>
    <w:uiPriority w:val="99"/>
    <w:semiHidden/>
    <w:unhideWhenUsed/>
  </w:style>
  <w:style w:type="table" w:styleId="88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Администрация г.Мегион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Татьяна Павловна</dc:creator>
  <cp:lastModifiedBy>MilokumovaOA</cp:lastModifiedBy>
  <cp:revision>104</cp:revision>
  <dcterms:created xsi:type="dcterms:W3CDTF">2020-10-06T06:22:00Z</dcterms:created>
  <dcterms:modified xsi:type="dcterms:W3CDTF">2025-08-20T12:16:23Z</dcterms:modified>
  <cp:version>1048576</cp:version>
</cp:coreProperties>
</file>