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</w:t>
      </w:r>
      <w:r>
        <w:rPr>
          <w:rFonts w:ascii="Times New Roman" w:hAnsi="Times New Roman" w:cs="Times New Roman"/>
          <w:sz w:val="24"/>
          <w:szCs w:val="24"/>
        </w:rPr>
        <w:t xml:space="preserve">риложение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ind w:left="4677" w:firstLine="1843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решению Думы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677" w:firstLine="1843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677" w:firstLine="1843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30.05.2025 № 458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709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9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</w:pPr>
      <w:r/>
      <w:bookmarkStart w:id="1" w:name="Par39"/>
      <w:r/>
      <w:bookmarkEnd w:id="1"/>
      <w:r>
        <w:rPr>
          <w:rFonts w:ascii="Times New Roman" w:hAnsi="Times New Roman" w:cs="Times New Roman"/>
          <w:b w:val="0"/>
          <w:bCs w:val="0"/>
        </w:rPr>
        <w:t xml:space="preserve">ПОЛОЖЕНИЕ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39"/>
        <w:ind w:firstLine="709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о муниципальном жилищном контроле на территории города Мегиона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39"/>
        <w:ind w:firstLine="709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  <w:i/>
        </w:rPr>
      </w:pPr>
      <w:r>
        <w:rPr>
          <w:rFonts w:ascii="Times New Roman" w:hAnsi="Times New Roman" w:cs="Times New Roman"/>
          <w:b w:val="0"/>
          <w:bCs w:val="0"/>
        </w:rPr>
        <w:t xml:space="preserve">(далее – Положение)</w:t>
      </w:r>
      <w:r>
        <w:rPr>
          <w:rFonts w:ascii="Times New Roman" w:hAnsi="Times New Roman" w:cs="Times New Roman"/>
          <w:b w:val="0"/>
          <w:bCs w:val="0"/>
          <w:i/>
        </w:rPr>
      </w:r>
      <w:r>
        <w:rPr>
          <w:rFonts w:ascii="Times New Roman" w:hAnsi="Times New Roman" w:cs="Times New Roman"/>
          <w:b w:val="0"/>
          <w:bCs w:val="0"/>
          <w:i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ind w:firstLine="709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  <w:outlineLvl w:val="1"/>
      </w:pPr>
      <w:r>
        <w:rPr>
          <w:rFonts w:ascii="Times New Roman" w:hAnsi="Times New Roman" w:cs="Times New Roman"/>
          <w:b w:val="0"/>
          <w:bCs w:val="0"/>
        </w:rPr>
        <w:t xml:space="preserve">1. Общие положения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36"/>
        <w:ind w:firstLine="709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1. Настоящее</w:t>
      </w:r>
      <w:r>
        <w:rPr>
          <w:sz w:val="24"/>
          <w:szCs w:val="24"/>
        </w:rPr>
        <w:t xml:space="preserve"> Положение определяет порядок организации и осуществления муниципального жилищного контроля на территории города Мегиона.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1.2.К отношениям, </w:t>
      </w:r>
      <w:r>
        <w:rPr>
          <w:rFonts w:ascii="Times New Roman" w:hAnsi="Times New Roman" w:cs="Times New Roman"/>
          <w:sz w:val="24"/>
          <w:szCs w:val="24"/>
        </w:rPr>
        <w:t xml:space="preserve">связанным с осуществлением муниципального жилищного контроля, организацией и проведением профилактических мероприятий и контрольных мероприятий в отношении объектов контроля (далее - объект контроля, контролируемые лица) применяются положения Федерального </w:t>
      </w:r>
      <w:hyperlink r:id="rId11" w:tooltip="https://login.consultant.ru/link/?req=doc&amp;base=LAW&amp;n=495001" w:history="1">
        <w:r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закона</w:t>
        </w:r>
      </w:hyperlink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31.07.2020 №248-ФЗ «О государственном контроле (надзоре) и муниципальном контроле в Российской Федерации» (далее – Федеральный закон №248-ФЗ).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3.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жилищный контроль (далее - муниципальный контроль) на территории города Мегиона осуществляется администрацией города Мегиона в лице отдела муниципального контроля администрации города Мегиона (далее - контрольный орган).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4. Объектами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являются: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1)муниципальный жилищный фонд - совокупность жилых помещений, принадлежащих на праве собственности городу </w:t>
      </w:r>
      <w:r>
        <w:rPr>
          <w:rFonts w:ascii="Times New Roman" w:hAnsi="Times New Roman" w:cs="Times New Roman"/>
          <w:sz w:val="24"/>
          <w:szCs w:val="24"/>
        </w:rPr>
        <w:t xml:space="preserve">Мегиону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2)деятельность, действия (бездействие), а также результаты деятельности граждан, проживающих в муниципальном жилищном фонде;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3)деятельность, действия (бездействие), а также результаты деятельности организаций (далее - хозяйствующие субъекты), осуществляющих деятельность по управлению многоквартирными домами и (или) оказывающих услуги и (или</w:t>
      </w:r>
      <w:r>
        <w:rPr>
          <w:rFonts w:ascii="Times New Roman" w:hAnsi="Times New Roman" w:cs="Times New Roman"/>
          <w:sz w:val="24"/>
          <w:szCs w:val="24"/>
        </w:rPr>
        <w:t xml:space="preserve">) выполняющие работы по содержанию и ремонту общего имущества в многоквартирных домах, а также оказывающих услуги и (или) выполняющие работы по предоставлению коммунальных услуг собственникам и пользователям помещений в многоквартирных домах и жилых домах.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1.5.Учет объектов контроля осуществляется в соответствии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с Федеральным законом № 248-ФЗ, П</w:t>
      </w:r>
      <w:r>
        <w:rPr>
          <w:rFonts w:ascii="Times New Roman" w:hAnsi="Times New Roman" w:cs="Times New Roman"/>
          <w:sz w:val="24"/>
          <w:szCs w:val="24"/>
        </w:rPr>
        <w:t xml:space="preserve">оложением посредством: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формирования перечня объектов контроля, размещенного на официальном сайте администрации города Мегиона в информационно-телекоммуникационной сети «Интернет» (далее – сеть «Интернет»);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иных федеральных или региональных информационных систем, </w:t>
      </w:r>
      <w:r>
        <w:rPr>
          <w:rFonts w:ascii="Times New Roman" w:hAnsi="Times New Roman" w:cs="Times New Roman"/>
          <w:sz w:val="24"/>
          <w:szCs w:val="24"/>
        </w:rPr>
        <w:br/>
        <w:t xml:space="preserve">в том числе путем получения сведений в порядке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6. Предметом</w:t>
      </w:r>
      <w:r>
        <w:rPr>
          <w:sz w:val="24"/>
          <w:szCs w:val="24"/>
        </w:rPr>
        <w:t xml:space="preserve"> муниципального контроля являются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1)требований к использованию и сохранности жилищного фонда, в том числе </w:t>
      </w:r>
      <w:hyperlink r:id="rId12" w:tooltip="https://login.consultant.ru/link/?req=doc&amp;base=LAW&amp;n=489041&amp;dst=100028" w:history="1">
        <w:r>
          <w:rPr>
            <w:sz w:val="24"/>
            <w:szCs w:val="24"/>
          </w:rPr>
          <w:t xml:space="preserve">требований</w:t>
        </w:r>
      </w:hyperlink>
      <w:r>
        <w:rPr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</w:t>
      </w:r>
      <w:r>
        <w:rPr>
          <w:sz w:val="24"/>
          <w:szCs w:val="24"/>
        </w:rPr>
        <w:t xml:space="preserve">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2)требований к </w:t>
      </w:r>
      <w:hyperlink r:id="rId13" w:tooltip="https://login.consultant.ru/link/?req=doc&amp;base=LAW&amp;n=493210&amp;dst=246" w:history="1">
        <w:r>
          <w:rPr>
            <w:sz w:val="24"/>
            <w:szCs w:val="24"/>
          </w:rPr>
          <w:t xml:space="preserve">формированию</w:t>
        </w:r>
      </w:hyperlink>
      <w:r>
        <w:rPr>
          <w:sz w:val="24"/>
          <w:szCs w:val="24"/>
        </w:rPr>
        <w:t xml:space="preserve"> фондов капитального ремонта;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3)требований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4)требований к предоставлению коммунальных услуг собственникам и пользователям помещений в многоквартирных домах и жилых домов;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5)правил изменени</w:t>
      </w:r>
      <w:r>
        <w:rPr>
          <w:sz w:val="24"/>
          <w:szCs w:val="24"/>
        </w:rPr>
        <w:t xml:space="preserve">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6)правил содержания общего имущества в многоквартирном доме и правил изменения размера платы за содержание жилого помещения;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7)правил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8)требований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9)требований к порядку размещения </w:t>
      </w:r>
      <w:r>
        <w:rPr>
          <w:sz w:val="24"/>
          <w:szCs w:val="24"/>
        </w:rPr>
        <w:t xml:space="preserve">ресурсоснабжающими</w:t>
      </w:r>
      <w:r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10)требований к обеспечению доступности для инвалидов помещений в многоквартирных домах;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11)требований к предоставлению жилых помещений в наемных домах социального использования;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12)требований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7.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контроль осуществляется посредством проведения: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1)профилактических мероприятий;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2)контрольных мероприятий.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8.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контроль вправе осуществлять следующие должностные лица: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1)руководитель контрольного органа;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2)должностные лица контрольного органа, замещающие должность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службы, в должностные обязанности которых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- инспектор).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9. Принятие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решений о проведении контрольных мероприятий осуществляет руководитель</w:t>
      </w: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органа.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709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709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Управление рисками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709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1.</w:t>
      </w:r>
      <w:r>
        <w:rPr>
          <w:rFonts w:eastAsia="Calibri"/>
          <w:sz w:val="24"/>
          <w:szCs w:val="24"/>
          <w:lang w:eastAsia="en-US"/>
        </w:rPr>
        <w:t xml:space="preserve"> Муниципальный</w:t>
      </w:r>
      <w:r>
        <w:rPr>
          <w:rFonts w:eastAsia="Calibri"/>
          <w:sz w:val="24"/>
          <w:szCs w:val="24"/>
          <w:lang w:eastAsia="en-US"/>
        </w:rPr>
        <w:t xml:space="preserve">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4"/>
          <w:szCs w:val="24"/>
          <w:highlight w:val="white"/>
          <w:lang w:eastAsia="en-US"/>
        </w:rPr>
        <w:t xml:space="preserve">контрольных мероприятий,</w:t>
      </w:r>
      <w:r>
        <w:rPr>
          <w:rFonts w:eastAsia="Calibri"/>
          <w:sz w:val="24"/>
          <w:szCs w:val="24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</w:t>
      </w:r>
      <w:r>
        <w:rPr>
          <w:rFonts w:eastAsia="Calibri"/>
          <w:sz w:val="24"/>
          <w:szCs w:val="24"/>
          <w:lang w:eastAsia="en-US"/>
        </w:rPr>
        <w:t xml:space="preserve">2.</w:t>
      </w:r>
      <w:r>
        <w:rPr>
          <w:sz w:val="24"/>
          <w:szCs w:val="24"/>
        </w:rPr>
        <w:t xml:space="preserve"> Учет</w:t>
      </w:r>
      <w:r>
        <w:rPr>
          <w:sz w:val="24"/>
          <w:szCs w:val="24"/>
        </w:rPr>
        <w:t xml:space="preserve"> рисков причинения вреда (ущерба) охраняемым законом ценностям, порядок отнесения объектов контр</w:t>
      </w:r>
      <w:r>
        <w:rPr>
          <w:sz w:val="24"/>
          <w:szCs w:val="24"/>
        </w:rPr>
        <w:t xml:space="preserve">оля к категориям риска причинения вреда (ущерба) (далее – категории риска) и выявления индикаторов риска нарушения обязательных требований (далее – индикаторы риска) осуществляются контрольным органом в соответствии с главой 5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2"/>
        <w:ind w:firstLine="850"/>
        <w:jc w:val="both"/>
        <w:spacing w:before="0" w:beforeAutospacing="0" w:after="0" w:afterAutospacing="0" w:line="17" w:lineRule="atLeast"/>
        <w:tabs>
          <w:tab w:val="left" w:pos="709" w:leader="none"/>
        </w:tabs>
      </w:pPr>
      <w:r>
        <w:t xml:space="preserve">2.</w:t>
      </w:r>
      <w:r>
        <w:t xml:space="preserve">3. Объекты</w:t>
      </w:r>
      <w:r>
        <w:t xml:space="preserve"> </w:t>
      </w:r>
      <w:r>
        <w:rPr>
          <w:highlight w:val="white"/>
        </w:rPr>
        <w:t xml:space="preserve">контроля подлежат отнесению к категориям среднего, умеренного и низкого риска</w:t>
      </w:r>
      <w:r>
        <w:t xml:space="preserve"> в соответствии с критериями отнесения объектов контроля к категориям риска (далее – критерии риска), указанными в Приложении 3 к Положению.</w:t>
      </w:r>
      <w:r/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4. При</w:t>
      </w:r>
      <w:r>
        <w:rPr>
          <w:sz w:val="24"/>
          <w:szCs w:val="24"/>
        </w:rPr>
        <w:t xml:space="preserve"> отнесении объектов </w:t>
      </w:r>
      <w:r>
        <w:rPr>
          <w:sz w:val="24"/>
          <w:szCs w:val="24"/>
          <w:highlight w:val="white"/>
        </w:rPr>
        <w:t xml:space="preserve">контроля</w:t>
      </w:r>
      <w:r>
        <w:rPr>
          <w:sz w:val="24"/>
          <w:szCs w:val="24"/>
        </w:rPr>
        <w:t xml:space="preserve"> к категориям риска, применении критериев риска и выявлении индикаторов риска контрольный орган использует сведе</w:t>
      </w:r>
      <w:r>
        <w:rPr>
          <w:sz w:val="24"/>
          <w:szCs w:val="24"/>
        </w:rPr>
        <w:t xml:space="preserve">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2.</w:t>
      </w:r>
      <w:r>
        <w:rPr>
          <w:sz w:val="24"/>
          <w:szCs w:val="24"/>
          <w:highlight w:val="white"/>
        </w:rPr>
        <w:t xml:space="preserve">5. Допустимый</w:t>
      </w:r>
      <w:r>
        <w:rPr>
          <w:sz w:val="24"/>
          <w:szCs w:val="24"/>
          <w:highlight w:val="white"/>
        </w:rPr>
        <w:t xml:space="preserve">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  <w:r>
        <w:rPr>
          <w:i/>
          <w:sz w:val="24"/>
          <w:szCs w:val="24"/>
          <w:highlight w:val="white"/>
        </w:rPr>
      </w:r>
      <w:r>
        <w:rPr>
          <w:i/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color w:val="000000"/>
          <w:sz w:val="24"/>
          <w:szCs w:val="24"/>
        </w:rPr>
      </w:pPr>
      <w:r>
        <w:rPr>
          <w:sz w:val="24"/>
          <w:szCs w:val="24"/>
          <w:highlight w:val="white"/>
        </w:rPr>
        <w:t xml:space="preserve">2.6.</w:t>
      </w:r>
      <w:r>
        <w:rPr>
          <w:color w:val="000000"/>
          <w:sz w:val="24"/>
          <w:szCs w:val="24"/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i/>
          <w:color w:val="000000"/>
          <w:sz w:val="24"/>
          <w:szCs w:val="24"/>
          <w:highlight w:val="cyan"/>
        </w:rPr>
      </w:pPr>
      <w:r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7. Контрольным</w:t>
      </w:r>
      <w:r>
        <w:rPr>
          <w:sz w:val="24"/>
          <w:szCs w:val="24"/>
        </w:rPr>
        <w:t xml:space="preserve">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  <w:r>
        <w:rPr>
          <w:i/>
          <w:color w:val="000000"/>
          <w:sz w:val="24"/>
          <w:szCs w:val="24"/>
          <w:highlight w:val="cyan"/>
        </w:rPr>
      </w:r>
      <w:r>
        <w:rPr>
          <w:i/>
          <w:color w:val="000000"/>
          <w:sz w:val="24"/>
          <w:szCs w:val="24"/>
          <w:highlight w:val="cyan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2.8.В случае поступления в контрольный орган сведений о соответствии объекта </w:t>
      </w:r>
      <w:r>
        <w:rPr>
          <w:sz w:val="24"/>
          <w:szCs w:val="24"/>
          <w:highlight w:val="white"/>
        </w:rPr>
        <w:t xml:space="preserve">контроля</w:t>
      </w:r>
      <w:r>
        <w:rPr>
          <w:sz w:val="24"/>
          <w:szCs w:val="24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4"/>
          <w:szCs w:val="24"/>
          <w:highlight w:val="white"/>
        </w:rPr>
        <w:t xml:space="preserve">к</w:t>
      </w:r>
      <w:r>
        <w:rPr>
          <w:sz w:val="24"/>
          <w:szCs w:val="24"/>
        </w:rPr>
        <w:t xml:space="preserve">онтроля.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2.9.В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10. Контролируемые</w:t>
      </w:r>
      <w:r>
        <w:rPr>
          <w:sz w:val="24"/>
          <w:szCs w:val="24"/>
        </w:rPr>
        <w:t xml:space="preserve"> лица, в том числе с использованием федеральной государственной информационной системы «Единый портал государственных и муниципальны</w:t>
      </w:r>
      <w:r>
        <w:rPr>
          <w:sz w:val="24"/>
          <w:szCs w:val="24"/>
        </w:rPr>
        <w:t xml:space="preserve">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11. По</w:t>
      </w:r>
      <w:r>
        <w:rPr>
          <w:sz w:val="24"/>
          <w:szCs w:val="24"/>
        </w:rPr>
        <w:t xml:space="preserve">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2.12.Отнесение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4"/>
          <w:szCs w:val="24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sz w:val="24"/>
          <w:szCs w:val="24"/>
        </w:rPr>
        <w:t xml:space="preserve"> 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</w:r>
      <w:r>
        <w:rPr>
          <w:color w:val="000000"/>
          <w:sz w:val="24"/>
          <w:szCs w:val="24"/>
          <w:highlight w:val="yellow"/>
        </w:rPr>
      </w:r>
      <w:r>
        <w:rPr>
          <w:color w:val="000000"/>
          <w:sz w:val="24"/>
          <w:szCs w:val="24"/>
          <w:highlight w:val="yellow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3.Профилактика рисков причинения вреда (ущерба) охраняемым законом ценностям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1. Профилактические</w:t>
      </w:r>
      <w:r>
        <w:rPr>
          <w:sz w:val="24"/>
          <w:szCs w:val="24"/>
        </w:rPr>
        <w:t xml:space="preserve">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4"/>
          <w:szCs w:val="24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 </w:t>
      </w:r>
      <w:r>
        <w:rPr>
          <w:sz w:val="24"/>
          <w:szCs w:val="24"/>
        </w:rPr>
        <w:t xml:space="preserve">в сети «Интернет».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2. Профилактические</w:t>
      </w:r>
      <w:r>
        <w:rPr>
          <w:sz w:val="24"/>
          <w:szCs w:val="24"/>
        </w:rPr>
        <w:t xml:space="preserve"> мероприятия, предусмотренные Программой профилактики, обязательны для проведения контрольным органом.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3. Контрольный</w:t>
      </w:r>
      <w:r>
        <w:rPr>
          <w:sz w:val="24"/>
          <w:szCs w:val="24"/>
        </w:rPr>
        <w:t xml:space="preserve"> орган вправе проводить профилактические мероприятия, не предусмотренные Программой профилактики.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4. Контрольный</w:t>
      </w:r>
      <w:r>
        <w:rPr>
          <w:sz w:val="24"/>
          <w:szCs w:val="24"/>
        </w:rPr>
        <w:t xml:space="preserve"> орган в рамках осуществления муниципального контроля проводит следующие профилактические мероприятия: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1)информирование;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2)объявление предостережения;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3)консультирование;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4)профилактический визит.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5. Информирование</w:t>
      </w:r>
      <w:r>
        <w:rPr>
          <w:sz w:val="24"/>
          <w:szCs w:val="24"/>
        </w:rPr>
        <w:t xml:space="preserve">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4"/>
          <w:szCs w:val="24"/>
          <w:highlight w:val="white"/>
        </w:rPr>
        <w:t xml:space="preserve">48-ФЗ, на официальном сайте 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>
        <w:rPr>
          <w:i/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Размещенные сведения поддерживаются в актуальном состоянии и обновляются в </w:t>
      </w:r>
      <w:r>
        <w:rPr>
          <w:sz w:val="24"/>
          <w:szCs w:val="24"/>
          <w:highlight w:val="white"/>
        </w:rPr>
        <w:t xml:space="preserve">срок не</w:t>
      </w:r>
      <w:r>
        <w:rPr>
          <w:sz w:val="24"/>
          <w:szCs w:val="24"/>
          <w:highlight w:val="white"/>
        </w:rPr>
        <w:t xml:space="preserve"> более 5 рабочих дней с момента их изменения.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3.6.Предостере</w:t>
      </w:r>
      <w:r>
        <w:rPr>
          <w:sz w:val="24"/>
          <w:szCs w:val="24"/>
        </w:rPr>
        <w:t xml:space="preserve">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>
        <w:rPr>
          <w:sz w:val="24"/>
          <w:szCs w:val="24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 </w:t>
      </w:r>
      <w:r>
        <w:rPr>
          <w:sz w:val="24"/>
          <w:szCs w:val="24"/>
        </w:rPr>
        <w:t xml:space="preserve">и предлагает принять меры по обеспечению соблюдения обязательных требований.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Предостережение составляется в письменной форме или в форме электронного документа.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>
        <w:rPr>
          <w:sz w:val="24"/>
          <w:szCs w:val="24"/>
          <w:highlight w:val="white"/>
        </w:rPr>
        <w:t xml:space="preserve"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>
        <w:rPr>
          <w:sz w:val="24"/>
          <w:szCs w:val="24"/>
        </w:rPr>
        <w:t xml:space="preserve"> также по адресу электронной почты или почтовым отправлением (в случае направления на бумажном носителе).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регистрирует предостережение в журнале учета объявленных предостережений с присвоением регистрационного номера.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наименование контролируемого лица;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дату и номер полученного предостережения;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желаемый способ получения ответа по итогам рассмотрения возражения;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фамилию, имя, отчество (при наличии) уполномоченного действовать от имени контролируемого лица, направившего возражение;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дату направления возражения.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Возражение направляет контролируемое лицо в контрольный орган одним из следующих способов в течении 30 календарных дней со дня его получения: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лично, обратившись в контрольный орган;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почтовой связью по адресу </w:t>
      </w:r>
      <w:r>
        <w:rPr>
          <w:sz w:val="24"/>
          <w:szCs w:val="24"/>
        </w:rPr>
        <w:t xml:space="preserve">контрольного органа,</w:t>
      </w:r>
      <w:r>
        <w:rPr>
          <w:sz w:val="24"/>
          <w:szCs w:val="24"/>
        </w:rPr>
        <w:t xml:space="preserve"> указанного в предостережении;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  <w:highlight w:val="red"/>
        </w:rPr>
      </w:pPr>
      <w:r>
        <w:rPr>
          <w:sz w:val="24"/>
          <w:szCs w:val="24"/>
        </w:rPr>
        <w:t xml:space="preserve">в электронном виде через личные кабинеты контролируемых лиц в государственных информационных системах (при их наличии).</w:t>
      </w:r>
      <w:r>
        <w:rPr>
          <w:sz w:val="24"/>
          <w:szCs w:val="24"/>
          <w:highlight w:val="red"/>
        </w:rPr>
      </w:r>
      <w:r>
        <w:rPr>
          <w:sz w:val="24"/>
          <w:szCs w:val="24"/>
          <w:highlight w:val="red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>
        <w:rPr>
          <w:sz w:val="24"/>
          <w:szCs w:val="24"/>
          <w:highlight w:val="white"/>
        </w:rPr>
        <w:t xml:space="preserve">не позднее 3 рабочих дней с даты принятия такого решения;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дня с даты принятия такого решения.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7. Консультирование</w:t>
      </w:r>
      <w:r>
        <w:rPr>
          <w:sz w:val="24"/>
          <w:szCs w:val="24"/>
        </w:rPr>
        <w:t xml:space="preserve">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осуществляется без взимания платы.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4"/>
          <w:szCs w:val="24"/>
          <w:highlight w:val="white"/>
        </w:rPr>
        <w:t xml:space="preserve">контрольных мероприятий.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Время консультирования не должно превышать 15 минут.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Личный прием граждан проводится </w:t>
      </w:r>
      <w:r>
        <w:rPr>
          <w:sz w:val="24"/>
          <w:szCs w:val="24"/>
        </w:rPr>
        <w:t xml:space="preserve">руководителем контрольного</w:t>
      </w:r>
      <w:r>
        <w:rPr>
          <w:sz w:val="24"/>
          <w:szCs w:val="24"/>
        </w:rPr>
        <w:t xml:space="preserve"> органа.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Информация о месте приема, а также об установленных для приема днях и часах размещается на официальном сайте в сети «Интернет».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осуществляется по следующим вопросам: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1)организация и осуществление муниципального контроля;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2)порядок осуществления контрольных мероприятий, установленных настоящим Положением;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3)обязательные требования, содержащиеся в разрешительных документах.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Консультирование в письменной форме осуществляется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1)контролируемым лицом представлен письменный запрос о предоставлении письменного ответа по вопросам консультирования;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2)за время консультирования предоставить ответ на поставленные вопросы невозможно;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3)ответ на поставленные вопросы требует дополнительного запроса сведений от иных органов власти или лиц.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Если поставленные во</w:t>
      </w:r>
      <w:r>
        <w:rPr>
          <w:sz w:val="24"/>
          <w:szCs w:val="24"/>
        </w:rPr>
        <w:t xml:space="preserve">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</w:t>
      </w:r>
      <w:r>
        <w:rPr>
          <w:sz w:val="24"/>
          <w:szCs w:val="24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4"/>
          <w:szCs w:val="24"/>
        </w:rPr>
        <w:t xml:space="preserve">экспертизы, испытаний.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случае, посту</w:t>
      </w:r>
      <w:r>
        <w:rPr>
          <w:sz w:val="24"/>
          <w:szCs w:val="24"/>
        </w:rPr>
        <w:t xml:space="preserve">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руководителем контрольного органа.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8. Профилактический</w:t>
      </w:r>
      <w:r>
        <w:rPr>
          <w:sz w:val="24"/>
          <w:szCs w:val="24"/>
        </w:rPr>
        <w:t xml:space="preserve"> визит проводится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</w:t>
      </w:r>
      <w:r>
        <w:rPr>
          <w:sz w:val="24"/>
          <w:szCs w:val="24"/>
        </w:rPr>
        <w:t xml:space="preserve">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sz w:val="24"/>
          <w:szCs w:val="24"/>
          <w:highlight w:val="white"/>
        </w:rPr>
        <w:t xml:space="preserve">инспектор</w:t>
      </w:r>
      <w:r>
        <w:rPr>
          <w:sz w:val="24"/>
          <w:szCs w:val="24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Обязательный профилактический визит проводится в </w:t>
      </w:r>
      <w:r>
        <w:rPr>
          <w:color w:val="000000"/>
          <w:sz w:val="24"/>
          <w:szCs w:val="24"/>
          <w:highlight w:val="white"/>
        </w:rPr>
        <w:t xml:space="preserve">порядке </w:t>
      </w:r>
      <w:r>
        <w:rPr>
          <w:color w:val="000000"/>
          <w:sz w:val="24"/>
          <w:szCs w:val="24"/>
          <w:highlight w:val="white"/>
        </w:rPr>
        <w:br/>
        <w:t xml:space="preserve">и случаях, предусмотренных статьями 25, 52.1</w:t>
      </w:r>
      <w:r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br/>
        <w:t xml:space="preserve">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i/>
          <w:sz w:val="24"/>
          <w:szCs w:val="24"/>
          <w:highlight w:val="white"/>
        </w:rPr>
      </w:pPr>
      <w:r>
        <w:rPr>
          <w:rFonts w:eastAsia="TimesNewRoman"/>
          <w:color w:val="000000"/>
          <w:sz w:val="24"/>
          <w:szCs w:val="24"/>
          <w:highlight w:val="white"/>
        </w:rPr>
        <w:t xml:space="preserve">Периодичность проведения обязательных профилактических визитов составляет:</w:t>
      </w:r>
      <w:r>
        <w:rPr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</w:r>
      <w:r>
        <w:rPr>
          <w:i/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для объектов контроля, отнесенных к категории среднего и умеренного риска </w:t>
      </w:r>
      <w:r>
        <w:rPr>
          <w:sz w:val="24"/>
          <w:szCs w:val="24"/>
        </w:rPr>
        <w:t xml:space="preserve">периодичность устанавливается Правительством Российской Федерации</w:t>
      </w:r>
      <w:r>
        <w:rPr>
          <w:sz w:val="24"/>
          <w:szCs w:val="24"/>
          <w:highlight w:val="white"/>
        </w:rPr>
        <w:t xml:space="preserve">;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i/>
          <w:sz w:val="24"/>
          <w:szCs w:val="24"/>
          <w:highlight w:val="white"/>
        </w:rPr>
      </w:pPr>
      <w:r>
        <w:rPr>
          <w:sz w:val="24"/>
          <w:szCs w:val="24"/>
        </w:rPr>
        <w:t xml:space="preserve">д</w:t>
      </w:r>
      <w:r>
        <w:rPr>
          <w:sz w:val="24"/>
          <w:szCs w:val="24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>
        <w:rPr>
          <w:sz w:val="24"/>
          <w:szCs w:val="24"/>
        </w:rPr>
        <w:t xml:space="preserve">лет</w:t>
      </w:r>
      <w:r>
        <w:rPr>
          <w:i/>
          <w:iCs/>
          <w:sz w:val="24"/>
          <w:szCs w:val="24"/>
          <w:highlight w:val="white"/>
        </w:rPr>
        <w:t xml:space="preserve">.</w:t>
      </w:r>
      <w:r>
        <w:rPr>
          <w:i/>
          <w:sz w:val="24"/>
          <w:szCs w:val="24"/>
          <w:highlight w:val="white"/>
        </w:rPr>
      </w:r>
      <w:r>
        <w:rPr>
          <w:i/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Предписание об устране</w:t>
      </w:r>
      <w:r>
        <w:rPr>
          <w:sz w:val="24"/>
          <w:szCs w:val="24"/>
        </w:rPr>
        <w:t xml:space="preserve">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Профилактический визит по инициативе контролируемого лица проводится в соответствии с требованиями статьи 52.2 Федерального закона № 248-ФЗ.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4.Осуществление муниципального контроля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white"/>
        </w:rPr>
        <w:t xml:space="preserve">4.</w:t>
      </w:r>
      <w:r>
        <w:rPr>
          <w:sz w:val="24"/>
          <w:szCs w:val="24"/>
          <w:highlight w:val="white"/>
        </w:rPr>
        <w:t xml:space="preserve">1.</w:t>
      </w:r>
      <w:r>
        <w:rPr>
          <w:color w:val="000000"/>
          <w:sz w:val="24"/>
          <w:szCs w:val="24"/>
          <w:highlight w:val="white"/>
        </w:rPr>
        <w:t xml:space="preserve"> Муниципальный</w:t>
      </w:r>
      <w:r>
        <w:rPr>
          <w:color w:val="000000"/>
          <w:sz w:val="24"/>
          <w:szCs w:val="24"/>
          <w:highlight w:val="white"/>
        </w:rPr>
        <w:t xml:space="preserve"> контроль осуществляется без проведения плановых контрольных мероприятий.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При осуществлении муниципального контроля в отношении жилых помещений, используемых гражданами, плановые контрольные мероприятия также не проводятся.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При осуществлении муниципального контроля контрольные мероприятия проводятся контрольным органом со взаимодействием с контролируемым лицом и без взаимодействия с ним.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4.2.В рамках осуществления муниципального контроля со взаимодействием с контролируемым лицом проводятся следующие контрольные мероприятия: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инспекционный визит;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рейдовый осмотр;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документарная проверка;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выездная проверка.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4.</w:t>
      </w:r>
      <w:r>
        <w:rPr>
          <w:color w:val="000000"/>
          <w:sz w:val="24"/>
          <w:szCs w:val="24"/>
        </w:rPr>
        <w:t xml:space="preserve">3</w:t>
      </w:r>
      <w:r>
        <w:rPr>
          <w:sz w:val="24"/>
          <w:szCs w:val="24"/>
        </w:rPr>
        <w:t xml:space="preserve">. Инспекционный</w:t>
      </w:r>
      <w:r>
        <w:rPr>
          <w:sz w:val="24"/>
          <w:szCs w:val="24"/>
        </w:rPr>
        <w:t xml:space="preserve">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szCs w:val="24"/>
        </w:rPr>
      </w:r>
      <w:r>
        <w:rPr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4. При</w:t>
      </w:r>
      <w:r>
        <w:rPr>
          <w:sz w:val="24"/>
          <w:szCs w:val="24"/>
        </w:rPr>
        <w:t xml:space="preserve"> проведении </w:t>
      </w:r>
      <w:r>
        <w:rPr>
          <w:sz w:val="24"/>
          <w:szCs w:val="24"/>
          <w:highlight w:val="white"/>
        </w:rPr>
        <w:t xml:space="preserve">контрольных мероприятий</w:t>
      </w:r>
      <w:r>
        <w:rPr>
          <w:sz w:val="24"/>
          <w:szCs w:val="24"/>
        </w:rPr>
        <w:t xml:space="preserve"> в рамках осуществления муниципального контроля должностное лицо контрольного органа: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совершает действия, предусмотренные частью 2 статьи 29 Федерального закона № 248-ФЗ;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принимает решения, предусмотренные частью 2 статьи 90 Федерального закона № 248-ФЗ;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4.5.В целях фиксации доказате</w:t>
      </w:r>
      <w:r>
        <w:rPr>
          <w:sz w:val="24"/>
          <w:szCs w:val="24"/>
        </w:rPr>
        <w:t xml:space="preserve">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</w:t>
      </w:r>
      <w:r>
        <w:rPr>
          <w:sz w:val="24"/>
          <w:szCs w:val="24"/>
        </w:rPr>
        <w:t xml:space="preserve">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4"/>
          <w:szCs w:val="24"/>
          <w:highlight w:val="white"/>
        </w:rPr>
        <w:t xml:space="preserve">контрольных мероприятий</w:t>
      </w:r>
      <w:r>
        <w:rPr>
          <w:sz w:val="24"/>
          <w:szCs w:val="24"/>
        </w:rPr>
        <w:t xml:space="preserve"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</w:t>
      </w:r>
      <w:r>
        <w:rPr>
          <w:sz w:val="24"/>
          <w:szCs w:val="24"/>
        </w:rPr>
        <w:t xml:space="preserve">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</w:t>
      </w:r>
      <w:r>
        <w:rPr>
          <w:sz w:val="24"/>
          <w:szCs w:val="24"/>
        </w:rPr>
        <w:t xml:space="preserve">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 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6. Для</w:t>
      </w:r>
      <w:r>
        <w:rPr>
          <w:sz w:val="24"/>
          <w:szCs w:val="24"/>
        </w:rPr>
        <w:t xml:space="preserve"> проведения </w:t>
      </w:r>
      <w:r>
        <w:rPr>
          <w:sz w:val="24"/>
          <w:szCs w:val="24"/>
          <w:highlight w:val="white"/>
        </w:rPr>
        <w:t xml:space="preserve">контрольного мероприятия</w:t>
      </w:r>
      <w:r>
        <w:rPr>
          <w:sz w:val="24"/>
          <w:szCs w:val="24"/>
        </w:rPr>
        <w:t xml:space="preserve"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7. Инспекционный</w:t>
      </w:r>
      <w:r>
        <w:rPr>
          <w:sz w:val="24"/>
          <w:szCs w:val="24"/>
        </w:rPr>
        <w:t xml:space="preserve"> визит проводится в порядке и в сроки, установленные статьей 70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ходе инспекционного визита могут совершаться следующие контрольные действия: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 осмотр;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 опрос;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3) получение письменных объяснений;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4) инструментальное обследование;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5) ист</w:t>
      </w:r>
      <w:r>
        <w:rPr>
          <w:sz w:val="24"/>
          <w:szCs w:val="24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8. Рейдовый</w:t>
      </w:r>
      <w:r>
        <w:rPr>
          <w:sz w:val="24"/>
          <w:szCs w:val="24"/>
        </w:rPr>
        <w:t xml:space="preserve"> осмотр проводится в порядке и в сроки, установленные статьей 71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ходе рейдового осмотра могут совершаться следующие контрольные действия: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 осмотр;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 опрос;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3) получение письменных объяснений;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4) истребование документов;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5) инструментальное обследование.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9. Документарная</w:t>
      </w:r>
      <w:r>
        <w:rPr>
          <w:sz w:val="24"/>
          <w:szCs w:val="24"/>
        </w:rPr>
        <w:t xml:space="preserve"> проверка проводится в порядке и в сроки, установленные статьей 72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ходе документарной проверки могут совершаться следующие контрольные действия: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 получение письменных объяснений;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 истребование документов.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color w:val="ff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4.10</w:t>
      </w:r>
      <w:r>
        <w:rPr>
          <w:sz w:val="24"/>
          <w:szCs w:val="24"/>
          <w:highlight w:val="white"/>
        </w:rPr>
        <w:t xml:space="preserve">.В соответствии со статьей 73 Федерального закона № 248-ФЗ срок проведения </w:t>
      </w:r>
      <w:r>
        <w:rPr>
          <w:sz w:val="24"/>
          <w:szCs w:val="24"/>
          <w:highlight w:val="white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r>
        <w:rPr>
          <w:sz w:val="24"/>
          <w:szCs w:val="24"/>
          <w:highlight w:val="white"/>
        </w:rPr>
        <w:t xml:space="preserve">микропредприятия</w:t>
      </w:r>
      <w:r>
        <w:rPr>
          <w:sz w:val="24"/>
          <w:szCs w:val="24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r>
        <w:rPr>
          <w:sz w:val="24"/>
          <w:szCs w:val="24"/>
          <w:highlight w:val="white"/>
        </w:rPr>
        <w:t xml:space="preserve">микропредприятия</w:t>
      </w:r>
      <w:r>
        <w:rPr>
          <w:sz w:val="24"/>
          <w:szCs w:val="24"/>
          <w:highlight w:val="white"/>
        </w:rPr>
        <w:t xml:space="preserve"> не может продолжаться более сорока часов. Срок проведения выездной проверки в отно</w:t>
      </w:r>
      <w:r>
        <w:rPr>
          <w:sz w:val="24"/>
          <w:szCs w:val="24"/>
          <w:highlight w:val="white"/>
        </w:rPr>
        <w:t xml:space="preserve">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r>
        <w:rPr>
          <w:i/>
          <w:iCs/>
          <w:sz w:val="24"/>
          <w:szCs w:val="24"/>
        </w:rPr>
        <w:t xml:space="preserve">.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ходе выездной проверки могут совершаться следующие контрольные действия: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осмотр;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опрос;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получение письменных объяснений;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истребование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850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инструментальное обследование.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4.</w:t>
      </w:r>
      <w:r>
        <w:rPr>
          <w:sz w:val="24"/>
          <w:szCs w:val="24"/>
        </w:rPr>
        <w:t xml:space="preserve">11. Без</w:t>
      </w:r>
      <w:r>
        <w:rPr>
          <w:sz w:val="24"/>
          <w:szCs w:val="24"/>
        </w:rPr>
        <w:t xml:space="preserve"> взаимодействия с контролируемым лицом осуществляются следующие контрольные мероприятия: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1) наблюдение за соблюдением обязательных требований;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2) выездное обследование.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Контрольные мероприятия без взаимодействия проводятся на основании заданий руководителя контрольного органа, включая задания, содержащиеся в планах работы контрольного органа.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12. Наблюдение</w:t>
      </w:r>
      <w:r>
        <w:rPr>
          <w:sz w:val="24"/>
          <w:szCs w:val="24"/>
        </w:rPr>
        <w:t xml:space="preserve">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13. Выездное</w:t>
      </w:r>
      <w:r>
        <w:rPr>
          <w:sz w:val="24"/>
          <w:szCs w:val="24"/>
        </w:rPr>
        <w:t xml:space="preserve"> обследование проводится в порядке, установленном статьей 75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 осмотр;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2) инструментальное обследование (с применением видеозаписи).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14. Случаи</w:t>
      </w:r>
      <w:r>
        <w:rPr>
          <w:sz w:val="24"/>
          <w:szCs w:val="24"/>
        </w:rPr>
        <w:t xml:space="preserve">, при наступлении которых контролируемое лицо вправе пре</w:t>
      </w:r>
      <w:r>
        <w:rPr>
          <w:sz w:val="24"/>
          <w:szCs w:val="24"/>
        </w:rPr>
        <w:t xml:space="preserve">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катастрофа природного или техногенного характера;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эпидемия или эпизоотия;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введение чрезвычайного или военного положения.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15. Осмотр</w:t>
      </w:r>
      <w:r>
        <w:rPr>
          <w:sz w:val="24"/>
          <w:szCs w:val="24"/>
        </w:rPr>
        <w:t xml:space="preserve"> осуществляется в порядке, установленном статьей 76 Федерального закона № 248-ФЗ.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pStyle w:val="776"/>
        <w:ind w:firstLine="850"/>
        <w:jc w:val="both"/>
        <w:spacing w:line="17" w:lineRule="atLeast"/>
        <w:tabs>
          <w:tab w:val="left" w:pos="709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Осмотр может проводиться при осуществлении инспекционного визита, рейдового осмотра, выездной проверки и выездного обследования. </w:t>
      </w:r>
      <w:r>
        <w:rPr>
          <w:i/>
          <w:iCs/>
          <w:sz w:val="24"/>
          <w:szCs w:val="24"/>
        </w:rPr>
        <w:t xml:space="preserve"> 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16. Опрос</w:t>
      </w:r>
      <w:r>
        <w:rPr>
          <w:sz w:val="24"/>
          <w:szCs w:val="24"/>
        </w:rPr>
        <w:t xml:space="preserve"> осуществляется в порядке, установленном статьей 78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Опрос может проводиться при осуществлении инспекционного визита, рейдового осмотра и выездной проверки.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4.17. Получение письменных объяснений осуществляется в порядке, установленном статьей 79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4.18. Истребование документов осуществляется в порядке, установленном статьей 80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Истребование документов может проводиться при </w:t>
      </w:r>
      <w:r>
        <w:rPr>
          <w:sz w:val="24"/>
          <w:szCs w:val="24"/>
        </w:rPr>
        <w:t xml:space="preserve">осуществлении инспекционного</w:t>
      </w:r>
      <w:r>
        <w:rPr>
          <w:sz w:val="24"/>
          <w:szCs w:val="24"/>
        </w:rPr>
        <w:t xml:space="preserve"> визита, рейдового осмотра, документарной проверки и выездной проверки.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19. Инструментальное</w:t>
      </w:r>
      <w:r>
        <w:rPr>
          <w:sz w:val="24"/>
          <w:szCs w:val="24"/>
        </w:rPr>
        <w:t xml:space="preserve"> обследование осуществляется в соответствии со статьей 82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Инструментальное обследование может проводиться при осуществлении, инспекционного визита, рейдового осмотра, выездной проверки, выездного обследования.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sz w:val="24"/>
          <w:szCs w:val="24"/>
          <w:highlight w:val="white"/>
        </w:rPr>
        <w:t xml:space="preserve">контрольного органа о целях проведения инструментального обследования.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white"/>
        </w:rPr>
        <w:t xml:space="preserve"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sz w:val="24"/>
          <w:szCs w:val="24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  <w:t xml:space="preserve">Информация о проведении инструментального обследования включается в акт контрольного мероприятия.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5.Результаты контрольного мероприятия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8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1. По</w:t>
      </w:r>
      <w:r>
        <w:rPr>
          <w:sz w:val="24"/>
          <w:szCs w:val="24"/>
        </w:rPr>
        <w:t xml:space="preserve">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850"/>
        <w:jc w:val="both"/>
        <w:spacing w:line="17" w:lineRule="atLeast"/>
        <w:tabs>
          <w:tab w:val="left" w:pos="850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2. По</w:t>
      </w:r>
      <w:r>
        <w:rPr>
          <w:sz w:val="24"/>
          <w:szCs w:val="24"/>
        </w:rPr>
        <w:t xml:space="preserve"> окончании проведения контрольного мероприятия, </w:t>
      </w:r>
      <w:r>
        <w:rPr>
          <w:sz w:val="24"/>
          <w:szCs w:val="24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850"/>
        <w:jc w:val="both"/>
        <w:spacing w:line="17" w:lineRule="atLeast"/>
        <w:tabs>
          <w:tab w:val="left" w:pos="850" w:leader="none"/>
        </w:tabs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17" w:lineRule="atLeast"/>
        <w:tabs>
          <w:tab w:val="left" w:pos="709" w:leader="none"/>
          <w:tab w:val="left" w:pos="850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          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3. Оформление</w:t>
      </w:r>
      <w:r>
        <w:rPr>
          <w:sz w:val="24"/>
          <w:szCs w:val="24"/>
        </w:rPr>
        <w:t xml:space="preserve"> акта производится в соответствии с пунктом 3 статьи 87 Федерального закона № 248-ФЗ</w:t>
      </w:r>
      <w:r>
        <w:rPr>
          <w:i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850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4. Акт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5.</w:t>
      </w:r>
      <w:r>
        <w:rPr>
          <w:sz w:val="24"/>
          <w:szCs w:val="24"/>
          <w:highlight w:val="white"/>
        </w:rPr>
        <w:t xml:space="preserve">5. Документы</w:t>
      </w:r>
      <w:r>
        <w:rPr>
          <w:sz w:val="24"/>
          <w:szCs w:val="24"/>
          <w:highlight w:val="white"/>
        </w:rPr>
        <w:t xml:space="preserve">, оформ</w:t>
      </w:r>
      <w:r>
        <w:rPr>
          <w:sz w:val="24"/>
          <w:szCs w:val="24"/>
        </w:rPr>
        <w:t xml:space="preserve">ляемые кон</w:t>
      </w:r>
      <w:r>
        <w:rPr>
          <w:sz w:val="24"/>
          <w:szCs w:val="24"/>
        </w:rPr>
        <w:t xml:space="preserve">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5.6.В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4"/>
          <w:szCs w:val="24"/>
          <w:highlight w:val="white"/>
        </w:rPr>
        <w:t xml:space="preserve">контрольного мероприятия</w:t>
      </w:r>
      <w:r>
        <w:rPr>
          <w:sz w:val="24"/>
          <w:szCs w:val="24"/>
        </w:rPr>
        <w:t xml:space="preserve"> на месте его проведения невозможно по</w:t>
      </w:r>
      <w:r>
        <w:rPr>
          <w:sz w:val="24"/>
          <w:szCs w:val="24"/>
        </w:rPr>
        <w:t xml:space="preserve"> причине совершения контрольных действий, предусмотренных пунктами 7 части 1 статьи 65 Федерального закона №248-ФЗ,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8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5.7.В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</w:t>
      </w:r>
      <w:r>
        <w:rPr>
          <w:sz w:val="24"/>
          <w:szCs w:val="24"/>
        </w:rPr>
        <w:t xml:space="preserve">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8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5.8.В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8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9. Предписание</w:t>
      </w:r>
      <w:r>
        <w:rPr>
          <w:sz w:val="24"/>
          <w:szCs w:val="24"/>
        </w:rPr>
        <w:t xml:space="preserve">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8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10. Досудебный</w:t>
      </w:r>
      <w:r>
        <w:rPr>
          <w:sz w:val="24"/>
          <w:szCs w:val="24"/>
        </w:rPr>
        <w:t xml:space="preserve"> порядок подачи жалоб, установленный главой 9 Федерального закона № 248-ФЗ, при осуществлении муниципального контроля не применяется.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rPr>
          <w:sz w:val="24"/>
          <w:szCs w:val="24"/>
        </w:rPr>
        <w:outlineLvl w:val="1"/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ind w:left="4394" w:hanging="283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Приложение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394" w:hanging="283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 Положению о муниципальном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394" w:hanging="283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жилищном контроле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394" w:hanging="283"/>
        <w:jc w:val="both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на территории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Перечень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индикаторов риска нарушения обязательных требований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(далее – индикаторы риска)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следующие индикаторы риска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1.Наличие сведений о поступлении в  суд  искового заявления (заявлений) о взыскании задолженности по договору (договорам) </w:t>
      </w:r>
      <w:r>
        <w:rPr>
          <w:sz w:val="24"/>
          <w:szCs w:val="24"/>
        </w:rPr>
        <w:t xml:space="preserve">ресурсоснабжения</w:t>
      </w:r>
      <w:r>
        <w:rPr>
          <w:sz w:val="24"/>
          <w:szCs w:val="24"/>
        </w:rPr>
        <w:t xml:space="preserve"> и (или) договорам на оказание услуг по обращению с твердыми коммунальными отходами, заключенным с </w:t>
      </w:r>
      <w:r>
        <w:rPr>
          <w:sz w:val="24"/>
          <w:szCs w:val="24"/>
        </w:rPr>
        <w:t xml:space="preserve">ресурсоснабжающей</w:t>
      </w:r>
      <w:r>
        <w:rPr>
          <w:sz w:val="24"/>
          <w:szCs w:val="24"/>
        </w:rPr>
        <w:t xml:space="preserve"> организацией, ре</w:t>
      </w:r>
      <w:r>
        <w:rPr>
          <w:sz w:val="24"/>
          <w:szCs w:val="24"/>
        </w:rPr>
        <w:t xml:space="preserve">гиональным оператором по обращению с твердыми коммунальными отходами, общая сумма которой превышает триста тысяч рублей, образовавшиеся в течении двенадцати месяцев до даты принятия решения о проведении и выборе вида внепланового контрольного мероприятия.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2.Наличие сведений о начислении платы за коммунальную услугу по отоплению исходя из норматива потребления, утвержденного уполномоченным органом государственной власти субъекта Российской Федерации, более трех расчетных периодов подряд.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rFonts w:eastAsiaTheme="minorHAnsi"/>
          <w:sz w:val="24"/>
          <w:szCs w:val="24"/>
          <w:lang w:eastAsia="en-US"/>
        </w:rPr>
        <w:t xml:space="preserve">Выявление в Государственной информационной системе жилищно-коммунального хозяйства (ГИС ЖКХ) двух и более в течении трех месяцев фактов несоответствия (расхождения) сведений об осуществляемой контролируемым лицом деятельности, связан</w:t>
      </w:r>
      <w:r>
        <w:rPr>
          <w:rFonts w:eastAsiaTheme="minorHAnsi"/>
          <w:sz w:val="24"/>
          <w:szCs w:val="24"/>
          <w:lang w:eastAsia="en-US"/>
        </w:rPr>
        <w:t xml:space="preserve">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взаимодействия, и (или) сведениями, имеющимися в распоряжении контрольного органа.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outlineLvl w:val="1"/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ind w:left="4110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Приложение 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110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 Положению о муниципальном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110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контроле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110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709"/>
        <w:jc w:val="right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Показатели результативности и эффективности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 их целевые значения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1.Оценка результативности и эффективности деятельности контрольного органа администрации города Мегиона в части осуществления муниципального жилищного контроля осуществляется на основе системы показателей результативности и эффективности.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6"/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2.В систему показателей результативности и эффективности деятельности контрольного органа входят: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6"/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ключевые показатели вида контроля, отражающие уровень ми</w:t>
      </w:r>
      <w:r>
        <w:rPr>
          <w:sz w:val="24"/>
          <w:szCs w:val="24"/>
        </w:rPr>
        <w:t xml:space="preserve">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6"/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индикативные показатели вида контроля, применяемые для мониторинга контрольной деятельности, ее анализа, выявления проблем, возникающих при ее осущ</w:t>
      </w:r>
      <w:r>
        <w:rPr>
          <w:sz w:val="24"/>
          <w:szCs w:val="24"/>
        </w:rPr>
        <w:t xml:space="preserve">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6"/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3.Показателем результативности и эффективности осуществления муниципального контроля являются: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6"/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1)ключевой показатель: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количество поги</w:t>
      </w:r>
      <w:r>
        <w:rPr>
          <w:sz w:val="24"/>
          <w:szCs w:val="24"/>
        </w:rPr>
        <w:t xml:space="preserve">бших/травмированных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5 тыс. жителей (человек);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материальный ущерб, причиненный муниципальному жилищному фонду, в результате несоблюдения обязательных требований, указанных в пунктах 1 – 1</w:t>
      </w:r>
      <w:r>
        <w:rPr>
          <w:sz w:val="24"/>
          <w:szCs w:val="24"/>
          <w:highlight w:val="white"/>
        </w:rPr>
        <w:t xml:space="preserve">2</w:t>
      </w:r>
      <w:r>
        <w:rPr>
          <w:sz w:val="24"/>
          <w:szCs w:val="24"/>
        </w:rPr>
        <w:t xml:space="preserve"> части 1 статьи 20 Жилищного кодекса Российской Федерации;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материальный ущерб, причиненный гражданам, организац</w:t>
      </w:r>
      <w:r>
        <w:rPr>
          <w:sz w:val="24"/>
          <w:szCs w:val="24"/>
        </w:rPr>
        <w:t xml:space="preserve">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материальный ущерб граждан в результате выявленных нарушений порядка начисления платы за коммунальные услуги по отношению к валовому региональному продукту (млн руб.).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6"/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Целевое значение </w:t>
      </w:r>
      <w:r>
        <w:rPr>
          <w:color w:val="000000"/>
          <w:sz w:val="24"/>
          <w:szCs w:val="24"/>
        </w:rPr>
        <w:t xml:space="preserve">ключевого показателя определяется путем п</w:t>
      </w:r>
      <w:r>
        <w:rPr>
          <w:color w:val="000000"/>
          <w:sz w:val="24"/>
          <w:szCs w:val="24"/>
          <w:highlight w:val="white"/>
        </w:rPr>
        <w:t xml:space="preserve">роцентного снижения значения ключевого показателя (или его нулевое значение) к аналогичному периоду прошлого года.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Значение ключевого показателя рассчитывается по формуле: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КП = (а ÷ b) × 100, где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а – число граждан, получивших тяжкий вред (ущерб) здоровью на территории города Мегиона в результате ненадлежащего содержания общего имущества многоквартирного дома, а также при предоставлении коммунальных услуг;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b – средняя численность населения города Мегиона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6"/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6"/>
        <w:ind w:firstLine="709"/>
        <w:jc w:val="both"/>
        <w:spacing w:line="17" w:lineRule="atLeast"/>
        <w:tabs>
          <w:tab w:val="left" w:pos="709" w:leader="none"/>
        </w:tabs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2)Индикативные показатели</w:t>
      </w:r>
      <w:r>
        <w:rPr>
          <w:i/>
          <w:iCs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  <w:highlight w:val="white"/>
        </w:rPr>
        <w:t xml:space="preserve">количество внеплановых контрольных мероприятий, про</w:t>
      </w:r>
      <w:r>
        <w:rPr>
          <w:color w:val="000000"/>
          <w:sz w:val="24"/>
          <w:szCs w:val="24"/>
        </w:rPr>
        <w:t xml:space="preserve">веденных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</w:t>
      </w:r>
      <w:r>
        <w:rPr>
          <w:color w:val="000000"/>
          <w:sz w:val="24"/>
          <w:szCs w:val="24"/>
        </w:rPr>
        <w:t xml:space="preserve">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общее количество контрольных мероприятий со взаимодействием, проведенных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контрольных мероприятий со взаимодействием по каждому виду контрольных мероприятий, проведенных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обязательных профилактических визитов, проведенных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предостережений о недопустимости нарушения обязательных требований, объявленных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сумма административных штрафов, наложенных по результатам контрольных мероприятий,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направленных в органы прокуратуры заявлений о согласовании проведения контрольных мероприятий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общее количество учтенных объектов контроля на конец отчетного периода;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учтенных объектов контроля, отнесенных к категориям риска, по каждой из категорий риска на конец отчетного периода;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учтенных контролируемых лиц на конец отчетного периода;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учтенных контролируемых лиц, в отношении которых проведены контрольные мероприятия,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общее количество жалоб, поданных контролируемыми лицами в досудебном порядке,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жалоб, в отношении которых контрольным органом был нарушен срок рассмотрения,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жалоб, поданных контролиру</w:t>
      </w:r>
      <w:r>
        <w:rPr>
          <w:color w:val="000000"/>
          <w:sz w:val="24"/>
          <w:szCs w:val="24"/>
        </w:rPr>
        <w:t xml:space="preserve">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tabs>
          <w:tab w:val="left" w:pos="709" w:leader="none"/>
        </w:tabs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4"/>
          <w:szCs w:val="24"/>
        </w:rPr>
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6"/>
        <w:ind w:left="4535" w:hanging="709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Приложение 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535" w:hanging="709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 Положению о муниципальном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535" w:hanging="709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жилищном контроле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left="4535" w:hanging="709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города Мегиона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6"/>
        <w:ind w:firstLine="709"/>
        <w:jc w:val="right"/>
        <w:spacing w:line="17" w:lineRule="atLeast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9"/>
        <w:ind w:firstLine="709"/>
        <w:jc w:val="center"/>
        <w:spacing w:line="17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Критерии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firstLine="709"/>
        <w:jc w:val="center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отнесения объектов контроля к определенной категории риска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1.С учетом вероятности наступления и тяжести потенциальных негативных последствий несоблюдения обязательных требований объекты контроля в области муниципального жилищного контроля подлежат отнесению к категориям среднего, умеренного и низкого риска</w:t>
      </w:r>
      <w:r>
        <w:rPr>
          <w:i/>
          <w:sz w:val="24"/>
          <w:szCs w:val="24"/>
        </w:rPr>
        <w:t xml:space="preserve">.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постановления (решения) по делу о</w:t>
      </w:r>
      <w:r>
        <w:rPr>
          <w:sz w:val="24"/>
          <w:szCs w:val="24"/>
        </w:rPr>
        <w:t xml:space="preserve">б административном правонарушении, связанного с нарушением обязательных требований, являющихся предметом жилищного муниципального контроля, ответственность за которое предусмотрена статьями Кодексом Российской Федерации об административных правонарушениях;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выданного контрольным органом предписания об устранении выявленных нарушений обязательных требований.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spacing w:line="17" w:lineRule="atLeast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4.К категории низкого риска относятся объекты контроля, не предусмотренные категориями среднего и умеренного риска.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15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6" w:hanging="1416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8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9"/>
  </w:num>
  <w:num w:numId="12">
    <w:abstractNumId w:val="11"/>
  </w:num>
  <w:num w:numId="13">
    <w:abstractNumId w:val="5"/>
  </w:num>
  <w:num w:numId="14">
    <w:abstractNumId w:val="17"/>
  </w:num>
  <w:num w:numId="15">
    <w:abstractNumId w:val="13"/>
  </w:num>
  <w:num w:numId="16">
    <w:abstractNumId w:val="14"/>
  </w:num>
  <w:num w:numId="17">
    <w:abstractNumId w:val="2"/>
  </w:num>
  <w:num w:numId="18">
    <w:abstractNumId w:val="16"/>
  </w:num>
  <w:num w:numId="19">
    <w:abstractNumId w:val="1"/>
  </w:num>
  <w:num w:numId="20">
    <w:abstractNumId w:val="6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Caption Char"/>
    <w:basedOn w:val="787"/>
    <w:link w:val="934"/>
    <w:uiPriority w:val="99"/>
  </w:style>
  <w:style w:type="paragraph" w:styleId="719" w:default="1">
    <w:name w:val="Normal"/>
    <w:qFormat/>
    <w:pPr>
      <w:ind w:firstLine="709"/>
      <w:jc w:val="both"/>
      <w:spacing w:line="17" w:lineRule="atLeast"/>
      <w:tabs>
        <w:tab w:val="left" w:pos="709" w:leader="none"/>
      </w:tabs>
    </w:pPr>
    <w:rPr>
      <w:sz w:val="24"/>
      <w:szCs w:val="24"/>
    </w:rPr>
  </w:style>
  <w:style w:type="paragraph" w:styleId="720">
    <w:name w:val="Heading 1"/>
    <w:basedOn w:val="719"/>
    <w:next w:val="719"/>
    <w:link w:val="7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19"/>
    <w:next w:val="719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19"/>
    <w:next w:val="719"/>
    <w:link w:val="7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19"/>
    <w:next w:val="719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basedOn w:val="729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29"/>
    <w:uiPriority w:val="9"/>
    <w:rPr>
      <w:rFonts w:ascii="Arial" w:hAnsi="Arial" w:eastAsia="Arial" w:cs="Arial"/>
      <w:sz w:val="34"/>
    </w:rPr>
  </w:style>
  <w:style w:type="character" w:styleId="734" w:customStyle="1">
    <w:name w:val="Heading 3 Char"/>
    <w:basedOn w:val="729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29"/>
    <w:uiPriority w:val="10"/>
    <w:rPr>
      <w:sz w:val="48"/>
      <w:szCs w:val="48"/>
    </w:rPr>
  </w:style>
  <w:style w:type="character" w:styleId="742" w:customStyle="1">
    <w:name w:val="Subtitle Char"/>
    <w:basedOn w:val="729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table" w:styleId="745">
    <w:name w:val="Plain Table 1"/>
    <w:basedOn w:val="73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3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3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3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3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5 Dark"/>
    <w:basedOn w:val="73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>
    <w:name w:val="Grid Table 7 Colorful"/>
    <w:basedOn w:val="73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73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73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73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73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>
    <w:name w:val="List Table 6 Colorful"/>
    <w:basedOn w:val="73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3">
    <w:name w:val="List Table 7 Colorful"/>
    <w:basedOn w:val="73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4" w:customStyle="1">
    <w:name w:val="Footnote Text Char"/>
    <w:uiPriority w:val="99"/>
    <w:rPr>
      <w:sz w:val="18"/>
    </w:rPr>
  </w:style>
  <w:style w:type="character" w:styleId="765" w:customStyle="1">
    <w:name w:val="Endnote Text Char"/>
    <w:uiPriority w:val="99"/>
    <w:rPr>
      <w:sz w:val="20"/>
    </w:rPr>
  </w:style>
  <w:style w:type="character" w:styleId="766" w:customStyle="1">
    <w:name w:val="Заголовок 1 Знак"/>
    <w:link w:val="720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Заголовок 2 Знак"/>
    <w:link w:val="721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List Paragraph"/>
    <w:basedOn w:val="719"/>
    <w:uiPriority w:val="34"/>
    <w:qFormat/>
    <w:pPr>
      <w:contextualSpacing/>
      <w:ind w:left="720"/>
    </w:pPr>
  </w:style>
  <w:style w:type="paragraph" w:styleId="776">
    <w:name w:val="No Spacing"/>
    <w:uiPriority w:val="1"/>
    <w:qFormat/>
  </w:style>
  <w:style w:type="paragraph" w:styleId="777">
    <w:name w:val="Title"/>
    <w:basedOn w:val="719"/>
    <w:next w:val="719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8" w:customStyle="1">
    <w:name w:val="Заголовок Знак"/>
    <w:link w:val="777"/>
    <w:uiPriority w:val="10"/>
    <w:rPr>
      <w:sz w:val="48"/>
      <w:szCs w:val="48"/>
    </w:rPr>
  </w:style>
  <w:style w:type="paragraph" w:styleId="779">
    <w:name w:val="Subtitle"/>
    <w:basedOn w:val="719"/>
    <w:next w:val="719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 w:customStyle="1">
    <w:name w:val="Подзаголовок Знак"/>
    <w:link w:val="779"/>
    <w:uiPriority w:val="11"/>
    <w:rPr>
      <w:sz w:val="24"/>
      <w:szCs w:val="24"/>
    </w:rPr>
  </w:style>
  <w:style w:type="paragraph" w:styleId="781">
    <w:name w:val="Quote"/>
    <w:basedOn w:val="719"/>
    <w:next w:val="719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19"/>
    <w:next w:val="719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character" w:styleId="785" w:customStyle="1">
    <w:name w:val="Header Char"/>
    <w:basedOn w:val="729"/>
    <w:uiPriority w:val="99"/>
  </w:style>
  <w:style w:type="character" w:styleId="786" w:customStyle="1">
    <w:name w:val="Footer Char"/>
    <w:basedOn w:val="729"/>
    <w:uiPriority w:val="99"/>
  </w:style>
  <w:style w:type="paragraph" w:styleId="787">
    <w:name w:val="Caption"/>
    <w:basedOn w:val="719"/>
    <w:next w:val="719"/>
    <w:link w:val="78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8" w:customStyle="1">
    <w:name w:val="Название объекта Знак"/>
    <w:link w:val="787"/>
    <w:uiPriority w:val="99"/>
  </w:style>
  <w:style w:type="table" w:styleId="789">
    <w:name w:val="Table Grid"/>
    <w:basedOn w:val="73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0" w:customStyle="1">
    <w:name w:val="Table Grid Light"/>
    <w:basedOn w:val="730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791" w:customStyle="1">
    <w:name w:val="Таблица простая 11"/>
    <w:basedOn w:val="730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21"/>
    <w:basedOn w:val="730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31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 w:customStyle="1">
    <w:name w:val="Таблица простая 41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 простая 51"/>
    <w:basedOn w:val="73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 w:customStyle="1">
    <w:name w:val="Таблица-сетка 1 светлая1"/>
    <w:basedOn w:val="730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30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30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30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30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30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30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Таблица-сетка 21"/>
    <w:basedOn w:val="730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30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30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30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30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30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30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Таблица-сетка 31"/>
    <w:basedOn w:val="730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30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30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30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30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30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30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41"/>
    <w:basedOn w:val="730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818" w:customStyle="1">
    <w:name w:val="Grid Table 4 - Accent 1"/>
    <w:basedOn w:val="730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819" w:customStyle="1">
    <w:name w:val="Grid Table 4 - Accent 2"/>
    <w:basedOn w:val="730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820" w:customStyle="1">
    <w:name w:val="Grid Table 4 - Accent 3"/>
    <w:basedOn w:val="730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821" w:customStyle="1">
    <w:name w:val="Grid Table 4 - Accent 4"/>
    <w:basedOn w:val="730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822" w:customStyle="1">
    <w:name w:val="Grid Table 4 - Accent 5"/>
    <w:basedOn w:val="730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823" w:customStyle="1">
    <w:name w:val="Grid Table 4 - Accent 6"/>
    <w:basedOn w:val="730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824" w:customStyle="1">
    <w:name w:val="Таблица-сетка 5 темная1"/>
    <w:basedOn w:val="730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825" w:customStyle="1">
    <w:name w:val="Grid Table 5 Dark- Accent 1"/>
    <w:basedOn w:val="730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826" w:customStyle="1">
    <w:name w:val="Grid Table 5 Dark - Accent 2"/>
    <w:basedOn w:val="730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827" w:customStyle="1">
    <w:name w:val="Grid Table 5 Dark - Accent 3"/>
    <w:basedOn w:val="730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828" w:customStyle="1">
    <w:name w:val="Grid Table 5 Dark- Accent 4"/>
    <w:basedOn w:val="730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829" w:customStyle="1">
    <w:name w:val="Grid Table 5 Dark - Accent 5"/>
    <w:basedOn w:val="730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830" w:customStyle="1">
    <w:name w:val="Grid Table 5 Dark - Accent 6"/>
    <w:basedOn w:val="730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831" w:customStyle="1">
    <w:name w:val="Таблица-сетка 6 цветная1"/>
    <w:basedOn w:val="730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832" w:customStyle="1">
    <w:name w:val="Grid Table 6 Colorful - Accent 1"/>
    <w:basedOn w:val="730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833" w:customStyle="1">
    <w:name w:val="Grid Table 6 Colorful - Accent 2"/>
    <w:basedOn w:val="730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834" w:customStyle="1">
    <w:name w:val="Grid Table 6 Colorful - Accent 3"/>
    <w:basedOn w:val="730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835" w:customStyle="1">
    <w:name w:val="Grid Table 6 Colorful - Accent 4"/>
    <w:basedOn w:val="730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836" w:customStyle="1">
    <w:name w:val="Grid Table 6 Colorful - Accent 5"/>
    <w:basedOn w:val="730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837" w:customStyle="1">
    <w:name w:val="Grid Table 6 Colorful - Accent 6"/>
    <w:basedOn w:val="730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838" w:customStyle="1">
    <w:name w:val="Таблица-сетка 7 цветная1"/>
    <w:basedOn w:val="730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30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30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30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30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30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30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Список-таблица 1 светлая1"/>
    <w:basedOn w:val="730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30"/>
    <w:uiPriority w:val="99"/>
    <w:tblPr>
      <w:tblStyleRowBandSize w:val="1"/>
      <w:tblStyleColBandSize w:val="1"/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30"/>
    <w:uiPriority w:val="99"/>
    <w:tblPr>
      <w:tblStyleRowBandSize w:val="1"/>
      <w:tblStyleColBandSize w:val="1"/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30"/>
    <w:uiPriority w:val="99"/>
    <w:tblPr>
      <w:tblStyleRowBandSize w:val="1"/>
      <w:tblStyleColBandSize w:val="1"/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30"/>
    <w:uiPriority w:val="99"/>
    <w:tblPr>
      <w:tblStyleRowBandSize w:val="1"/>
      <w:tblStyleColBandSize w:val="1"/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30"/>
    <w:uiPriority w:val="99"/>
    <w:tblPr>
      <w:tblStyleRowBandSize w:val="1"/>
      <w:tblStyleColBandSize w:val="1"/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30"/>
    <w:uiPriority w:val="99"/>
    <w:tblPr>
      <w:tblStyleRowBandSize w:val="1"/>
      <w:tblStyleColBandSize w:val="1"/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Список-таблица 21"/>
    <w:basedOn w:val="730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30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30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30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30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30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30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859" w:customStyle="1">
    <w:name w:val="Список-таблица 31"/>
    <w:basedOn w:val="730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30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30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30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30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30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30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Список-таблица 41"/>
    <w:basedOn w:val="730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30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30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30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30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30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30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Список-таблица 5 темная1"/>
    <w:basedOn w:val="730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74" w:customStyle="1">
    <w:name w:val="List Table 5 Dark - Accent 1"/>
    <w:basedOn w:val="730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75" w:customStyle="1">
    <w:name w:val="List Table 5 Dark - Accent 2"/>
    <w:basedOn w:val="730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76" w:customStyle="1">
    <w:name w:val="List Table 5 Dark - Accent 3"/>
    <w:basedOn w:val="730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77" w:customStyle="1">
    <w:name w:val="List Table 5 Dark - Accent 4"/>
    <w:basedOn w:val="730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78" w:customStyle="1">
    <w:name w:val="List Table 5 Dark - Accent 5"/>
    <w:basedOn w:val="730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79" w:customStyle="1">
    <w:name w:val="List Table 5 Dark - Accent 6"/>
    <w:basedOn w:val="730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880" w:customStyle="1">
    <w:name w:val="Список-таблица 6 цветная1"/>
    <w:basedOn w:val="730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81" w:customStyle="1">
    <w:name w:val="List Table 6 Colorful - Accent 1"/>
    <w:basedOn w:val="730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882" w:customStyle="1">
    <w:name w:val="List Table 6 Colorful - Accent 2"/>
    <w:basedOn w:val="730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883" w:customStyle="1">
    <w:name w:val="List Table 6 Colorful - Accent 3"/>
    <w:basedOn w:val="730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884" w:customStyle="1">
    <w:name w:val="List Table 6 Colorful - Accent 4"/>
    <w:basedOn w:val="730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885" w:customStyle="1">
    <w:name w:val="List Table 6 Colorful - Accent 5"/>
    <w:basedOn w:val="730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886" w:customStyle="1">
    <w:name w:val="List Table 6 Colorful - Accent 6"/>
    <w:basedOn w:val="730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887" w:customStyle="1">
    <w:name w:val="Список-таблица 7 цветная1"/>
    <w:basedOn w:val="730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30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30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30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30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30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30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895" w:customStyle="1">
    <w:name w:val="Lined - Accent 1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896" w:customStyle="1">
    <w:name w:val="Lined - Accent 2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897" w:customStyle="1">
    <w:name w:val="Lined - Accent 3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898" w:customStyle="1">
    <w:name w:val="Lined - Accent 4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899" w:customStyle="1">
    <w:name w:val="Lined - Accent 5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900" w:customStyle="1">
    <w:name w:val="Lined - Accent 6"/>
    <w:basedOn w:val="73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901" w:customStyle="1">
    <w:name w:val="Bordered &amp; Lined - Accent"/>
    <w:basedOn w:val="730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902" w:customStyle="1">
    <w:name w:val="Bordered &amp; Lined - Accent 1"/>
    <w:basedOn w:val="730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903" w:customStyle="1">
    <w:name w:val="Bordered &amp; Lined - Accent 2"/>
    <w:basedOn w:val="730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904" w:customStyle="1">
    <w:name w:val="Bordered &amp; Lined - Accent 3"/>
    <w:basedOn w:val="730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905" w:customStyle="1">
    <w:name w:val="Bordered &amp; Lined - Accent 4"/>
    <w:basedOn w:val="730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906" w:customStyle="1">
    <w:name w:val="Bordered &amp; Lined - Accent 5"/>
    <w:basedOn w:val="730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907" w:customStyle="1">
    <w:name w:val="Bordered &amp; Lined - Accent 6"/>
    <w:basedOn w:val="730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908" w:customStyle="1">
    <w:name w:val="Bordered"/>
    <w:basedOn w:val="730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909" w:customStyle="1">
    <w:name w:val="Bordered - Accent 1"/>
    <w:basedOn w:val="730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910" w:customStyle="1">
    <w:name w:val="Bordered - Accent 2"/>
    <w:basedOn w:val="730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911" w:customStyle="1">
    <w:name w:val="Bordered - Accent 3"/>
    <w:basedOn w:val="730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912" w:customStyle="1">
    <w:name w:val="Bordered - Accent 4"/>
    <w:basedOn w:val="730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913" w:customStyle="1">
    <w:name w:val="Bordered - Accent 5"/>
    <w:basedOn w:val="730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914" w:customStyle="1">
    <w:name w:val="Bordered - Accent 6"/>
    <w:basedOn w:val="730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paragraph" w:styleId="915">
    <w:name w:val="footnote text"/>
    <w:basedOn w:val="719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719"/>
    <w:link w:val="919"/>
    <w:uiPriority w:val="99"/>
    <w:semiHidden/>
    <w:unhideWhenUsed/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719"/>
    <w:next w:val="719"/>
    <w:uiPriority w:val="39"/>
    <w:unhideWhenUsed/>
    <w:pPr>
      <w:spacing w:after="57"/>
    </w:pPr>
  </w:style>
  <w:style w:type="paragraph" w:styleId="922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923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24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25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26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27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28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29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19"/>
    <w:next w:val="719"/>
    <w:uiPriority w:val="99"/>
    <w:unhideWhenUsed/>
  </w:style>
  <w:style w:type="paragraph" w:styleId="932">
    <w:name w:val="Header"/>
    <w:basedOn w:val="719"/>
    <w:link w:val="933"/>
    <w:uiPriority w:val="99"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basedOn w:val="729"/>
    <w:link w:val="932"/>
    <w:uiPriority w:val="99"/>
  </w:style>
  <w:style w:type="paragraph" w:styleId="934">
    <w:name w:val="Footer"/>
    <w:basedOn w:val="719"/>
    <w:link w:val="935"/>
    <w:pPr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"/>
    <w:basedOn w:val="729"/>
    <w:link w:val="934"/>
  </w:style>
  <w:style w:type="paragraph" w:styleId="936" w:customStyle="1">
    <w:name w:val="ConsPlusNormal"/>
    <w:pPr>
      <w:widowControl w:val="off"/>
    </w:pPr>
    <w:rPr>
      <w:rFonts w:ascii="Arial" w:hAnsi="Arial" w:cs="Arial"/>
      <w:sz w:val="16"/>
      <w:szCs w:val="16"/>
    </w:rPr>
  </w:style>
  <w:style w:type="paragraph" w:styleId="937">
    <w:name w:val="Balloon Text"/>
    <w:basedOn w:val="719"/>
    <w:link w:val="938"/>
    <w:rPr>
      <w:rFonts w:ascii="Segoe UI" w:hAnsi="Segoe UI" w:cs="Segoe UI"/>
      <w:sz w:val="18"/>
      <w:szCs w:val="18"/>
    </w:rPr>
  </w:style>
  <w:style w:type="character" w:styleId="938" w:customStyle="1">
    <w:name w:val="Текст выноски Знак"/>
    <w:link w:val="937"/>
    <w:rPr>
      <w:rFonts w:ascii="Segoe UI" w:hAnsi="Segoe UI" w:cs="Segoe UI"/>
      <w:sz w:val="18"/>
      <w:szCs w:val="18"/>
    </w:rPr>
  </w:style>
  <w:style w:type="paragraph" w:styleId="939" w:customStyle="1">
    <w:name w:val="ConsPlusTitle"/>
    <w:uiPriority w:val="99"/>
    <w:pPr>
      <w:widowControl w:val="off"/>
    </w:pPr>
    <w:rPr>
      <w:rFonts w:ascii="Arial" w:hAnsi="Arial" w:cs="Arial"/>
      <w:b/>
      <w:bCs/>
      <w:sz w:val="24"/>
      <w:szCs w:val="24"/>
    </w:rPr>
  </w:style>
  <w:style w:type="character" w:styleId="940">
    <w:name w:val="Hyperlink"/>
    <w:uiPriority w:val="99"/>
    <w:unhideWhenUsed/>
    <w:rPr>
      <w:color w:val="0000ff"/>
      <w:u w:val="single"/>
    </w:rPr>
  </w:style>
  <w:style w:type="paragraph" w:styleId="941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color w:val="000000"/>
      <w:sz w:val="24"/>
      <w:szCs w:val="24"/>
      <w:lang w:eastAsia="en-US"/>
    </w:rPr>
  </w:style>
  <w:style w:type="paragraph" w:styleId="942">
    <w:name w:val="Normal (Web)"/>
    <w:basedOn w:val="71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43">
    <w:name w:val="annotation reference"/>
    <w:basedOn w:val="729"/>
    <w:uiPriority w:val="99"/>
    <w:semiHidden/>
    <w:unhideWhenUsed/>
    <w:rPr>
      <w:sz w:val="16"/>
      <w:szCs w:val="16"/>
    </w:rPr>
  </w:style>
  <w:style w:type="paragraph" w:styleId="944">
    <w:name w:val="annotation text"/>
    <w:basedOn w:val="719"/>
    <w:link w:val="945"/>
    <w:uiPriority w:val="99"/>
    <w:semiHidden/>
    <w:unhideWhenUsed/>
    <w:rPr>
      <w:sz w:val="20"/>
      <w:szCs w:val="20"/>
    </w:rPr>
  </w:style>
  <w:style w:type="character" w:styleId="945" w:customStyle="1">
    <w:name w:val="Текст примечания Знак"/>
    <w:basedOn w:val="729"/>
    <w:link w:val="944"/>
    <w:uiPriority w:val="99"/>
    <w:semiHidden/>
  </w:style>
  <w:style w:type="paragraph" w:styleId="946">
    <w:name w:val="annotation subject"/>
    <w:basedOn w:val="944"/>
    <w:next w:val="944"/>
    <w:link w:val="947"/>
    <w:uiPriority w:val="99"/>
    <w:semiHidden/>
    <w:unhideWhenUsed/>
    <w:rPr>
      <w:b/>
      <w:bCs/>
    </w:rPr>
  </w:style>
  <w:style w:type="character" w:styleId="947" w:customStyle="1">
    <w:name w:val="Тема примечания Знак"/>
    <w:basedOn w:val="945"/>
    <w:link w:val="946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95001" TargetMode="External"/><Relationship Id="rId12" Type="http://schemas.openxmlformats.org/officeDocument/2006/relationships/hyperlink" Target="https://login.consultant.ru/link/?req=doc&amp;base=LAW&amp;n=489041&amp;dst=100028" TargetMode="External"/><Relationship Id="rId13" Type="http://schemas.openxmlformats.org/officeDocument/2006/relationships/hyperlink" Target="https://login.consultant.ru/link/?req=doc&amp;base=LAW&amp;n=493210&amp;dst=2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2569-DE06-4FB8-BD35-F78FDCBA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AdmHMAO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MilokumovaOA</cp:lastModifiedBy>
  <cp:revision>15</cp:revision>
  <dcterms:created xsi:type="dcterms:W3CDTF">2025-04-08T09:14:00Z</dcterms:created>
  <dcterms:modified xsi:type="dcterms:W3CDTF">2025-05-30T07:06:41Z</dcterms:modified>
</cp:coreProperties>
</file>