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108"/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ff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szCs w:val="2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42900" cy="464820"/>
                <wp:effectExtent l="0" t="0" r="0" b="0"/>
                <wp:docPr id="1" name="_x0000_i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34290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7.00pt;height:36.6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color w:val="0000ff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ff"/>
          <w:szCs w:val="20"/>
          <w:lang w:eastAsia="ru-RU"/>
        </w:rPr>
      </w:r>
    </w:p>
    <w:p>
      <w:pPr>
        <w:ind w:left="-108"/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  <w:t xml:space="preserve">ХАНТЫ – МАНСИЙСКИЙ АВТОНОМНЫЙ ОКРУГ - ЮГРА</w:t>
      </w:r>
      <w:r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</w:r>
    </w:p>
    <w:p>
      <w:pPr>
        <w:ind w:left="-108"/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  <w:t xml:space="preserve">ТЮМЕНСКАЯ ОБЛАСТЬ</w:t>
      </w:r>
      <w:r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</w:r>
    </w:p>
    <w:p>
      <w:pPr>
        <w:ind w:left="-108"/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  <w:t xml:space="preserve">ПРЕДСТАВИТЕЛЬНЫЙ ОРГАН МУНИЦИПАЛЬНОГО ОБРАЗОВАНИЯ</w:t>
      </w:r>
      <w:r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0000ff"/>
          <w:sz w:val="24"/>
          <w:szCs w:val="20"/>
          <w:lang w:eastAsia="ru-RU"/>
        </w:rPr>
      </w:r>
    </w:p>
    <w:p>
      <w:pPr>
        <w:ind w:left="-108"/>
        <w:jc w:val="center"/>
        <w:spacing w:after="0" w:line="240" w:lineRule="auto"/>
        <w:rPr>
          <w:rFonts w:ascii="Times New Roman" w:hAnsi="Times New Roman" w:eastAsia="Times New Roman" w:cs="Times New Roman"/>
          <w:b/>
          <w:color w:val="ff0000"/>
          <w:sz w:val="32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color w:val="ff0000"/>
          <w:sz w:val="32"/>
          <w:szCs w:val="20"/>
          <w:lang w:eastAsia="ru-RU"/>
        </w:rPr>
        <w:t xml:space="preserve">ДУМА ГОРОДА МЕГИОНА</w:t>
      </w:r>
      <w:r>
        <w:rPr>
          <w:rFonts w:ascii="Times New Roman" w:hAnsi="Times New Roman" w:eastAsia="Times New Roman" w:cs="Times New Roman"/>
          <w:b/>
          <w:color w:val="ff0000"/>
          <w:sz w:val="32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color w:val="ff0000"/>
          <w:sz w:val="32"/>
          <w:szCs w:val="20"/>
          <w:lang w:eastAsia="ru-RU"/>
        </w:rPr>
      </w:r>
    </w:p>
    <w:p>
      <w:pPr>
        <w:ind w:left="-108"/>
        <w:jc w:val="center"/>
        <w:keepNext/>
        <w:spacing w:before="240" w:after="60" w:line="240" w:lineRule="auto"/>
        <w:rPr>
          <w:rFonts w:ascii="Times New Roman" w:hAnsi="Times New Roman" w:eastAsia="Times New Roman" w:cs="Times New Roman"/>
          <w:b/>
          <w:bCs/>
          <w:iCs/>
          <w:color w:val="ff0000"/>
          <w:sz w:val="28"/>
          <w:szCs w:val="28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iCs/>
          <w:color w:val="ff0000"/>
          <w:sz w:val="28"/>
          <w:szCs w:val="28"/>
          <w:lang w:eastAsia="ru-RU"/>
        </w:rPr>
        <w:t xml:space="preserve">РЕШЕНИЕ</w:t>
      </w:r>
      <w:r>
        <w:rPr>
          <w:rFonts w:ascii="Times New Roman" w:hAnsi="Times New Roman" w:eastAsia="Times New Roman" w:cs="Times New Roman"/>
          <w:b/>
          <w:bCs/>
          <w:iCs/>
          <w:color w:val="ff0000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iCs/>
          <w:color w:val="ff0000"/>
          <w:sz w:val="28"/>
          <w:szCs w:val="28"/>
          <w:lang w:eastAsia="ru-RU"/>
        </w:rPr>
      </w:r>
    </w:p>
    <w:p>
      <w:pPr>
        <w:ind w:left="-108"/>
        <w:jc w:val="center"/>
        <w:spacing w:after="0" w:line="240" w:lineRule="auto"/>
        <w:rPr>
          <w:rFonts w:ascii="Times New Roman" w:hAnsi="Times New Roman" w:eastAsia="Calibri" w:cs="Times New Roman"/>
          <w:color w:val="0000ff"/>
          <w:sz w:val="24"/>
          <w:szCs w:val="24"/>
        </w:rPr>
      </w:pPr>
      <w:r>
        <w:rPr>
          <w:rFonts w:ascii="Times New Roman" w:hAnsi="Times New Roman" w:eastAsia="Calibri" w:cs="Times New Roman"/>
          <w:color w:val="0000ff"/>
          <w:sz w:val="24"/>
          <w:szCs w:val="24"/>
        </w:rPr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</w:r>
    </w:p>
    <w:p>
      <w:pPr>
        <w:ind w:left="-108"/>
        <w:jc w:val="both"/>
        <w:spacing w:after="0" w:line="240" w:lineRule="auto"/>
        <w:rPr>
          <w:rFonts w:ascii="Times New Roman" w:hAnsi="Times New Roman" w:eastAsia="Calibri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eastAsia="Calibri" w:cs="Times New Roman"/>
          <w:color w:val="0000ff"/>
          <w:sz w:val="24"/>
          <w:szCs w:val="24"/>
        </w:rPr>
        <w:t xml:space="preserve"> «</w:t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 xml:space="preserve">___</w:t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 xml:space="preserve">» </w:t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 xml:space="preserve">_______</w:t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 xml:space="preserve"> 2026 года </w:t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ab/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ab/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ab/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ab/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ab/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 xml:space="preserve">                                                     № </w:t>
      </w:r>
      <w:r>
        <w:rPr>
          <w:rFonts w:ascii="Times New Roman" w:hAnsi="Times New Roman" w:eastAsia="Calibri" w:cs="Times New Roman"/>
          <w:color w:val="0000ff"/>
          <w:sz w:val="24"/>
          <w:szCs w:val="24"/>
        </w:rPr>
        <w:t xml:space="preserve">___</w:t>
      </w:r>
      <w:r>
        <w:rPr>
          <w:rFonts w:ascii="Times New Roman" w:hAnsi="Times New Roman" w:eastAsia="Calibri" w:cs="Times New Roman"/>
          <w:color w:val="0000ff"/>
          <w:sz w:val="24"/>
          <w:szCs w:val="24"/>
          <w:u w:val="single"/>
        </w:rPr>
      </w:r>
      <w:r>
        <w:rPr>
          <w:rFonts w:ascii="Times New Roman" w:hAnsi="Times New Roman" w:eastAsia="Calibri" w:cs="Times New Roman"/>
          <w:color w:val="0000ff"/>
          <w:sz w:val="24"/>
          <w:szCs w:val="24"/>
          <w:u w:val="singl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 внесении изменения в решение Думы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города Мегиона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06.10.2025 №09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«О Регламенте Думы города Мегиона»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(с изменениями)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8"/>
        <w:jc w:val="both"/>
        <w:spacing w:before="100" w:beforeAutospacing="1" w:after="100" w:afterAutospacing="1" w:line="240" w:lineRule="auto"/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Рассмотрев проект решения Думы города Мегиона «О внесении изменения в решение Думы города Мегиона от 06.10.2025 №09 «О Регламенте Думы города Мегиона» (с изменениями), руководствуясь статьями 19, 22 устава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города Мегиона, Дума города Мегиона</w:t>
      </w:r>
      <w:r/>
    </w:p>
    <w:p>
      <w:pPr>
        <w:jc w:val="center"/>
        <w:spacing w:before="100" w:beforeAutospacing="1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РЕШИЛА: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 Внести в решение Думы города Мегиона от 06.10.2025 №09 «О Регламенте Думы города Мегиона» (с изменениями) изменение, согласно приложению к настоящему решению Думы города Мегиона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 Настоящее решение вступает в силу после его официального опубликования.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Style w:val="901"/>
        <w:tblW w:w="0" w:type="auto"/>
        <w:tblInd w:w="-142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5108"/>
      </w:tblGrid>
      <w:tr>
        <w:tblPrEx/>
        <w:trPr/>
        <w:tc>
          <w:tcPr>
            <w:tcW w:w="4672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Председатель Думы города Мегиона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________________В.С.Заднепровская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г.Мегион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none"/>
                <w:lang w:eastAsia="ru-RU"/>
              </w:rPr>
              <w:t xml:space="preserve">«__»______.___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</w:tc>
        <w:tc>
          <w:tcPr>
            <w:tcW w:w="5108" w:type="dxa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         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М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  <w:lang w:eastAsia="ru-RU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eastAsia="ru-RU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_________________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ч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к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          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г.Мегион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  <w:t xml:space="preserve">         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none"/>
                <w:lang w:eastAsia="ru-RU"/>
              </w:rPr>
              <w:t xml:space="preserve">«__»______.___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highlight w:val="whit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ind w:firstLine="720"/>
        <w:jc w:val="right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 w:eastAsiaTheme="minorEastAsia"/>
          <w:bCs/>
          <w:color w:val="000000" w:themeColor="text1"/>
          <w:sz w:val="24"/>
          <w:szCs w:val="24"/>
          <w:highlight w:val="none"/>
          <w:lang w:eastAsia="ru-RU"/>
        </w:rPr>
        <w:t xml:space="preserve">Приложение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ind w:firstLine="720"/>
        <w:jc w:val="right"/>
        <w:spacing w:after="0" w:line="240" w:lineRule="auto"/>
        <w:widowControl w:val="off"/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 w:eastAsiaTheme="minorEastAsia"/>
          <w:bCs/>
          <w:color w:val="000000" w:themeColor="text1"/>
          <w:sz w:val="24"/>
          <w:szCs w:val="24"/>
          <w:highlight w:val="none"/>
          <w:lang w:eastAsia="ru-RU"/>
        </w:rPr>
        <w:t xml:space="preserve">к </w:t>
      </w:r>
      <w:hyperlink w:tooltip="#sub_0" w:anchor="sub_0" w:history="1">
        <w:r>
          <w:rPr>
            <w:rFonts w:ascii="Times New Roman" w:hAnsi="Times New Roman" w:eastAsia="Times New Roman" w:cs="Times New Roman" w:eastAsiaTheme="minorEastAsia"/>
            <w:color w:val="000000" w:themeColor="text1"/>
            <w:sz w:val="24"/>
            <w:szCs w:val="24"/>
            <w:highlight w:val="none"/>
            <w:lang w:eastAsia="ru-RU"/>
          </w:rPr>
          <w:t xml:space="preserve">решению</w:t>
        </w:r>
      </w:hyperlink>
      <w:r>
        <w:rPr>
          <w:rFonts w:ascii="Times New Roman" w:hAnsi="Times New Roman" w:eastAsia="Times New Roman" w:cs="Times New Roman" w:eastAsiaTheme="minorEastAsia"/>
          <w:bCs/>
          <w:color w:val="000000" w:themeColor="text1"/>
          <w:sz w:val="24"/>
          <w:szCs w:val="24"/>
          <w:highlight w:val="none"/>
          <w:lang w:eastAsia="ru-RU"/>
        </w:rPr>
        <w:t xml:space="preserve"> Думы</w:t>
      </w:r>
      <w:r>
        <w:rPr>
          <w:rFonts w:ascii="Times New Roman" w:hAnsi="Times New Roman" w:eastAsia="Times New Roman" w:cs="Times New Roman" w:eastAsiaTheme="minorEastAsia"/>
          <w:bCs/>
          <w:color w:val="000000" w:themeColor="text1"/>
          <w:sz w:val="24"/>
          <w:szCs w:val="24"/>
          <w:highlight w:val="none"/>
          <w:lang w:eastAsia="ru-RU"/>
        </w:rPr>
        <w:br/>
        <w:t xml:space="preserve">города Мегиона</w:t>
      </w:r>
      <w:r>
        <w:rPr>
          <w:rFonts w:ascii="Times New Roman" w:hAnsi="Times New Roman" w:eastAsia="Times New Roman" w:cs="Times New Roman" w:eastAsiaTheme="minorEastAsia"/>
          <w:bCs/>
          <w:color w:val="000000" w:themeColor="text1"/>
          <w:sz w:val="24"/>
          <w:szCs w:val="24"/>
          <w:highlight w:val="none"/>
          <w:lang w:eastAsia="ru-RU"/>
        </w:rPr>
        <w:br/>
        <w:t xml:space="preserve">от </w:t>
      </w:r>
      <w:r>
        <w:rPr>
          <w:rFonts w:ascii="Times New Roman" w:hAnsi="Times New Roman" w:eastAsia="Times New Roman" w:cs="Times New Roman" w:eastAsiaTheme="minorEastAsia"/>
          <w:bCs/>
          <w:color w:val="000000" w:themeColor="text1"/>
          <w:sz w:val="24"/>
          <w:szCs w:val="24"/>
          <w:highlight w:val="none"/>
          <w:lang w:eastAsia="ru-RU"/>
        </w:rPr>
        <w:t xml:space="preserve">____________№______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none"/>
        </w:rPr>
      </w:r>
    </w:p>
    <w:p>
      <w:pPr>
        <w:contextualSpacing/>
        <w:jc w:val="left"/>
        <w:spacing w:after="0" w:line="240" w:lineRule="auto"/>
        <w:widowControl w:val="off"/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none"/>
        </w:rPr>
        <w:outlineLvl w:val="0"/>
      </w:pPr>
      <w:r>
        <w:rPr>
          <w:rFonts w:ascii="Times New Roman" w:hAnsi="Times New Roman" w:eastAsia="Times New Roman" w:cs="Times New Roman"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none"/>
        </w:rPr>
      </w:r>
    </w:p>
    <w:p>
      <w:pPr>
        <w:contextualSpacing/>
        <w:jc w:val="center"/>
        <w:spacing w:after="0" w:line="240" w:lineRule="auto"/>
        <w:widowControl w:val="off"/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none"/>
        </w:rPr>
        <w:outlineLvl w:val="0"/>
      </w:pPr>
      <w:r>
        <w:rPr>
          <w:rFonts w:ascii="Times New Roman" w:hAnsi="Times New Roman" w:eastAsia="Times New Roman" w:cs="Times New Roman" w:eastAsiaTheme="minorEastAsia"/>
          <w:bCs/>
          <w:color w:val="000000" w:themeColor="text1"/>
          <w:sz w:val="24"/>
          <w:szCs w:val="24"/>
          <w:highlight w:val="none"/>
          <w:lang w:eastAsia="ru-RU"/>
        </w:rPr>
        <w:t xml:space="preserve">Изменение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highlight w:val="none"/>
        </w:rPr>
      </w:r>
    </w:p>
    <w:p>
      <w:pPr>
        <w:contextualSpacing/>
        <w:jc w:val="center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outlineLvl w:val="0"/>
      </w:pPr>
      <w:r>
        <w:rPr>
          <w:rFonts w:ascii="Times New Roman" w:hAnsi="Times New Roman" w:eastAsia="Times New Roman" w:cs="Times New Roman" w:eastAsiaTheme="minorEastAsia"/>
          <w:bCs/>
          <w:color w:val="000000" w:themeColor="text1"/>
          <w:sz w:val="24"/>
          <w:szCs w:val="24"/>
          <w:highlight w:val="none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решение Думы города Мегиона от 06.10.2025 №09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contextualSpacing/>
        <w:jc w:val="center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outlineLvl w:val="0"/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«О Регламенте Думы города Мегиона»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eastAsia="ru-RU"/>
        </w:rPr>
        <w:t xml:space="preserve">(с изменениями)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contextualSpacing/>
        <w:ind w:left="0" w:right="0" w:firstLine="709"/>
        <w:jc w:val="center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outlineLvl w:val="0"/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contextualSpacing/>
        <w:ind w:left="0" w:right="0" w:firstLine="709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outlineLvl w:val="0"/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- статью 14 главы 2 приложения к решению Думы города Мегиона изложить в следующей редакции: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contextualSpacing/>
        <w:ind w:left="0" w:right="0" w:firstLine="567"/>
        <w:jc w:val="both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outlineLvl w:val="0"/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contextualSpacing/>
        <w:ind w:left="0" w:right="0" w:firstLine="709"/>
        <w:jc w:val="left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  <w:outlineLvl w:val="0"/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  <w:t xml:space="preserve">«14. Порядок деятельности депутатских объединений (фракций)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r>
    </w:p>
    <w:p>
      <w:pPr>
        <w:contextualSpacing/>
        <w:ind w:left="0" w:right="0" w:firstLine="567"/>
        <w:jc w:val="left"/>
        <w:spacing w:after="0" w:line="240" w:lineRule="auto"/>
        <w:widowControl w:val="off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  <w:outlineLvl w:val="0"/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r>
    </w:p>
    <w:p>
      <w:pPr>
        <w:contextualSpacing/>
        <w:ind w:left="0" w:right="0" w:firstLine="709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  <w:highlight w:val="white"/>
        </w:rPr>
        <w:outlineLvl w:val="0"/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white"/>
        </w:rPr>
        <w:t xml:space="preserve">1</w:t>
      </w:r>
      <w:r>
        <w:rPr>
          <w:rFonts w:ascii="Times New Roman" w:hAnsi="Times New Roman"/>
          <w:sz w:val="24"/>
          <w:szCs w:val="24"/>
          <w:highlight w:val="white"/>
        </w:rPr>
        <w:t xml:space="preserve">. Депутатские объединения (фракции) осуществляют свою деятельность на основании Конституции Российской Федерации, федеральных законов, законов Ханты-Мансийского автономного </w:t>
      </w:r>
      <w:r>
        <w:rPr>
          <w:rFonts w:ascii="Times New Roman" w:hAnsi="Times New Roman"/>
          <w:sz w:val="24"/>
          <w:szCs w:val="24"/>
          <w:highlight w:val="white"/>
        </w:rPr>
        <w:t xml:space="preserve">округа</w:t>
      </w:r>
      <w:r>
        <w:rPr>
          <w:rFonts w:ascii="Times New Roman" w:hAnsi="Times New Roman"/>
          <w:i/>
          <w:sz w:val="24"/>
          <w:szCs w:val="24"/>
          <w:highlight w:val="white"/>
          <w:lang w:eastAsia="ar-SA"/>
        </w:rPr>
        <w:t xml:space="preserve"> – </w:t>
      </w:r>
      <w:r>
        <w:rPr>
          <w:rFonts w:ascii="Times New Roman" w:hAnsi="Times New Roman"/>
          <w:sz w:val="24"/>
          <w:szCs w:val="24"/>
          <w:highlight w:val="white"/>
        </w:rPr>
        <w:t xml:space="preserve">Югры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 xml:space="preserve">и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 xml:space="preserve">н</w:t>
      </w:r>
      <w:r>
        <w:rPr>
          <w:rFonts w:ascii="Times New Roman" w:hAnsi="Times New Roman"/>
          <w:sz w:val="24"/>
          <w:szCs w:val="24"/>
          <w:highlight w:val="white"/>
        </w:rPr>
        <w:t xml:space="preserve">а</w:t>
      </w:r>
      <w:r>
        <w:rPr>
          <w:rFonts w:ascii="Times New Roman" w:hAnsi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/>
          <w:sz w:val="24"/>
          <w:szCs w:val="24"/>
          <w:highlight w:val="white"/>
        </w:rPr>
        <w:t xml:space="preserve">т</w:t>
      </w:r>
      <w:r>
        <w:rPr>
          <w:rFonts w:ascii="Times New Roman" w:hAnsi="Times New Roman"/>
          <w:sz w:val="24"/>
          <w:szCs w:val="24"/>
          <w:highlight w:val="white"/>
        </w:rPr>
        <w:t xml:space="preserve">о</w:t>
      </w:r>
      <w:r>
        <w:rPr>
          <w:rFonts w:ascii="Times New Roman" w:hAnsi="Times New Roman"/>
          <w:sz w:val="24"/>
          <w:szCs w:val="24"/>
          <w:highlight w:val="white"/>
        </w:rPr>
        <w:t xml:space="preserve">я</w:t>
      </w:r>
      <w:r>
        <w:rPr>
          <w:rFonts w:ascii="Times New Roman" w:hAnsi="Times New Roman"/>
          <w:sz w:val="24"/>
          <w:szCs w:val="24"/>
          <w:highlight w:val="white"/>
        </w:rPr>
        <w:t xml:space="preserve">щ</w:t>
      </w:r>
      <w:r>
        <w:rPr>
          <w:rFonts w:ascii="Times New Roman" w:hAnsi="Times New Roman"/>
          <w:sz w:val="24"/>
          <w:szCs w:val="24"/>
          <w:highlight w:val="white"/>
        </w:rPr>
        <w:t xml:space="preserve">е</w:t>
      </w:r>
      <w:r>
        <w:rPr>
          <w:rFonts w:ascii="Times New Roman" w:hAnsi="Times New Roman"/>
          <w:sz w:val="24"/>
          <w:szCs w:val="24"/>
          <w:highlight w:val="white"/>
        </w:rPr>
        <w:t xml:space="preserve">г</w:t>
      </w:r>
      <w:r>
        <w:rPr>
          <w:rFonts w:ascii="Times New Roman" w:hAnsi="Times New Roman"/>
          <w:sz w:val="24"/>
          <w:szCs w:val="24"/>
          <w:highlight w:val="white"/>
        </w:rPr>
        <w:t xml:space="preserve">о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 xml:space="preserve">Р</w:t>
      </w:r>
      <w:r>
        <w:rPr>
          <w:rFonts w:ascii="Times New Roman" w:hAnsi="Times New Roman"/>
          <w:sz w:val="24"/>
          <w:szCs w:val="24"/>
          <w:highlight w:val="white"/>
        </w:rPr>
        <w:t xml:space="preserve">е</w:t>
      </w:r>
      <w:r>
        <w:rPr>
          <w:rFonts w:ascii="Times New Roman" w:hAnsi="Times New Roman"/>
          <w:sz w:val="24"/>
          <w:szCs w:val="24"/>
          <w:highlight w:val="white"/>
        </w:rPr>
        <w:t xml:space="preserve">г</w:t>
      </w:r>
      <w:r>
        <w:rPr>
          <w:rFonts w:ascii="Times New Roman" w:hAnsi="Times New Roman"/>
          <w:sz w:val="24"/>
          <w:szCs w:val="24"/>
          <w:highlight w:val="white"/>
        </w:rPr>
        <w:t xml:space="preserve">л</w:t>
      </w:r>
      <w:r>
        <w:rPr>
          <w:rFonts w:ascii="Times New Roman" w:hAnsi="Times New Roman"/>
          <w:sz w:val="24"/>
          <w:szCs w:val="24"/>
          <w:highlight w:val="white"/>
        </w:rPr>
        <w:t xml:space="preserve">а</w:t>
      </w:r>
      <w:r>
        <w:rPr>
          <w:rFonts w:ascii="Times New Roman" w:hAnsi="Times New Roman"/>
          <w:sz w:val="24"/>
          <w:szCs w:val="24"/>
          <w:highlight w:val="white"/>
        </w:rPr>
        <w:t xml:space="preserve">м</w:t>
      </w:r>
      <w:r>
        <w:rPr>
          <w:rFonts w:ascii="Times New Roman" w:hAnsi="Times New Roman"/>
          <w:sz w:val="24"/>
          <w:szCs w:val="24"/>
          <w:highlight w:val="white"/>
        </w:rPr>
        <w:t xml:space="preserve">е</w:t>
      </w:r>
      <w:r>
        <w:rPr>
          <w:rFonts w:ascii="Times New Roman" w:hAnsi="Times New Roman"/>
          <w:sz w:val="24"/>
          <w:szCs w:val="24"/>
          <w:highlight w:val="white"/>
        </w:rPr>
        <w:t xml:space="preserve">н</w:t>
      </w:r>
      <w:r>
        <w:rPr>
          <w:rFonts w:ascii="Times New Roman" w:hAnsi="Times New Roman"/>
          <w:sz w:val="24"/>
          <w:szCs w:val="24"/>
          <w:highlight w:val="white"/>
        </w:rPr>
        <w:t xml:space="preserve">т</w:t>
      </w:r>
      <w:r>
        <w:rPr>
          <w:rFonts w:ascii="Times New Roman" w:hAnsi="Times New Roman"/>
          <w:sz w:val="24"/>
          <w:szCs w:val="24"/>
          <w:highlight w:val="white"/>
        </w:rPr>
        <w:t xml:space="preserve">а</w:t>
      </w:r>
      <w:r>
        <w:rPr>
          <w:rFonts w:ascii="Times New Roman" w:hAnsi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contextualSpacing/>
        <w:ind w:left="0" w:right="0" w:firstLine="709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  <w:highlight w:val="white"/>
        </w:rPr>
        <w:outlineLvl w:val="0"/>
      </w:pPr>
      <w:r>
        <w:rPr>
          <w:rFonts w:ascii="Times New Roman" w:hAnsi="Times New Roman"/>
          <w:sz w:val="24"/>
          <w:szCs w:val="24"/>
          <w:highlight w:val="white"/>
        </w:rPr>
        <w:t xml:space="preserve">2. </w:t>
      </w:r>
      <w:r>
        <w:rPr>
          <w:rFonts w:ascii="Times New Roman" w:hAnsi="Times New Roman"/>
          <w:sz w:val="24"/>
          <w:szCs w:val="24"/>
          <w:highlight w:val="white"/>
        </w:rPr>
        <w:t xml:space="preserve">Депутатские объединения (фракции) организуют свою деятельность на основе свободного, конструктивного, коллективного обсуждения вопросов и обладают равными правами</w:t>
      </w:r>
      <w:r>
        <w:rPr>
          <w:rFonts w:ascii="Times New Roman" w:hAnsi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contextualSpacing/>
        <w:ind w:left="0" w:right="0" w:firstLine="709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  <w:highlight w:val="white"/>
        </w:rPr>
        <w:outlineLvl w:val="0"/>
      </w:pPr>
      <w:r>
        <w:rPr>
          <w:rFonts w:ascii="Times New Roman" w:hAnsi="Times New Roman"/>
          <w:sz w:val="24"/>
          <w:szCs w:val="24"/>
          <w:highlight w:val="white"/>
        </w:rPr>
        <w:t xml:space="preserve">3.</w:t>
      </w:r>
      <w:r>
        <w:rPr>
          <w:highlight w:val="white"/>
        </w:rPr>
        <w:t xml:space="preserve"> </w:t>
      </w:r>
      <w:r>
        <w:rPr>
          <w:rFonts w:ascii="Times New Roman" w:hAnsi="Times New Roman"/>
          <w:sz w:val="24"/>
          <w:szCs w:val="24"/>
          <w:highlight w:val="white"/>
        </w:rPr>
        <w:t xml:space="preserve">Депутатское объединение (фракцию) возглавляет руководитель депутатского объединения (фракции).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contextualSpacing/>
        <w:ind w:left="0" w:right="0" w:firstLine="709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По решению депутатского объединения (фракции) могут избираться заместитель (заместители) руководителя депутатского объединения (фракции).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709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Заместитель (заместители) руководителя депутатского объединения (фракции) исполняет (исполняют) полномочия руководителя депутатского объединения (фракции) в случае его временного отсутствия.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709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</w:rPr>
        <w:outlineLvl w:val="0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4. Депутатские объединения (фракции) самостоятельно определяют структуру, состав своих руководящих (координирующих) органов, основные направления деятельности.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</w:r>
    </w:p>
    <w:p>
      <w:pPr>
        <w:contextualSpacing/>
        <w:ind w:left="0" w:right="0" w:firstLine="709"/>
        <w:jc w:val="both"/>
        <w:spacing w:after="0" w:line="240" w:lineRule="auto"/>
        <w:widowControl w:val="off"/>
        <w:rPr>
          <w:rFonts w:ascii="Times New Roman" w:hAnsi="Times New Roman"/>
          <w:color w:val="000000" w:themeColor="text1"/>
          <w:sz w:val="24"/>
          <w:szCs w:val="24"/>
        </w:rPr>
        <w:outlineLvl w:val="0"/>
      </w:pPr>
      <w:r>
        <w:rPr>
          <w:rFonts w:ascii="Times New Roman" w:hAnsi="Times New Roman"/>
          <w:sz w:val="24"/>
          <w:szCs w:val="24"/>
        </w:rPr>
        <w:t xml:space="preserve">5. </w:t>
      </w:r>
      <w:r>
        <w:rPr>
          <w:rFonts w:ascii="Times New Roman" w:hAnsi="Times New Roman"/>
          <w:sz w:val="24"/>
          <w:szCs w:val="24"/>
        </w:rPr>
        <w:t xml:space="preserve">Депутатское объединение (фракция) принимает Положение о депутат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ском объединении (фракции), которое устанавливает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 том числе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правила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совместной деятельности депутатов, входящих в соответствующее депутатское объединение (фракцию).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contextualSpacing/>
        <w:ind w:left="0" w:right="0" w:firstLine="709"/>
        <w:jc w:val="both"/>
        <w:spacing w:after="0" w:line="240" w:lineRule="auto"/>
        <w:widowControl w:val="off"/>
        <w:rPr>
          <w:rFonts w:ascii="Times New Roman" w:hAnsi="Times New Roman"/>
          <w:iCs w:val="0"/>
          <w:sz w:val="24"/>
          <w:szCs w:val="24"/>
        </w:rPr>
        <w:outlineLvl w:val="0"/>
      </w:pPr>
      <w:r>
        <w:rPr>
          <w:rFonts w:ascii="Times New Roman" w:hAnsi="Times New Roman"/>
          <w:sz w:val="24"/>
          <w:szCs w:val="24"/>
        </w:rPr>
        <w:t xml:space="preserve">6. </w:t>
      </w:r>
      <w:r>
        <w:rPr>
          <w:rFonts w:ascii="Times New Roman" w:hAnsi="Times New Roman"/>
          <w:sz w:val="24"/>
          <w:szCs w:val="24"/>
        </w:rPr>
        <w:t xml:space="preserve">Депутат, избранный по одномандатному избирательному округу и входящий в депутатское объединение (фракцию), может быть членом только той политической партии, в депутатское объединение (фракцию) которой он входит.</w:t>
      </w:r>
      <w:r>
        <w:rPr>
          <w:rFonts w:ascii="Times New Roman" w:hAnsi="Times New Roman"/>
          <w:i w:val="0"/>
          <w:iCs w:val="0"/>
          <w:sz w:val="24"/>
          <w:szCs w:val="24"/>
        </w:rPr>
      </w:r>
    </w:p>
    <w:p>
      <w:pPr>
        <w:contextualSpacing/>
        <w:ind w:left="0" w:right="0" w:firstLine="709"/>
        <w:jc w:val="both"/>
        <w:spacing w:after="0" w:line="240" w:lineRule="auto"/>
        <w:widowControl w:val="off"/>
        <w:rPr>
          <w:rFonts w:ascii="Times New Roman" w:hAnsi="Times New Roman"/>
          <w:bCs w:val="0"/>
          <w:i w:val="0"/>
          <w:sz w:val="24"/>
          <w:szCs w:val="24"/>
        </w:rPr>
        <w:outlineLvl w:val="0"/>
      </w:pPr>
      <w:r>
        <w:rPr>
          <w:rFonts w:ascii="Times New Roman" w:hAnsi="Times New Roman"/>
          <w:sz w:val="24"/>
          <w:szCs w:val="24"/>
        </w:rPr>
        <w:t xml:space="preserve">7. Для регистрации депутатского объединения (фракции) на имя председателя </w:t>
      </w:r>
      <w:r>
        <w:rPr>
          <w:rFonts w:ascii="Times New Roman" w:hAnsi="Times New Roman"/>
          <w:sz w:val="24"/>
          <w:szCs w:val="24"/>
        </w:rPr>
        <w:t xml:space="preserve">Думы </w:t>
      </w:r>
      <w:r>
        <w:rPr>
          <w:rFonts w:ascii="Times New Roman" w:hAnsi="Times New Roman"/>
          <w:sz w:val="24"/>
          <w:szCs w:val="24"/>
        </w:rPr>
        <w:t xml:space="preserve">направляется письменное уведомление от руководителя депутатского объединения (ф</w:t>
      </w:r>
      <w:r>
        <w:rPr>
          <w:rFonts w:ascii="Times New Roman" w:hAnsi="Times New Roman"/>
          <w:i w:val="0"/>
          <w:iCs w:val="0"/>
          <w:sz w:val="24"/>
          <w:szCs w:val="24"/>
        </w:rPr>
        <w:t xml:space="preserve">ракции) о начале деятельности депутатского объединения (фракции).</w:t>
      </w:r>
      <w:r>
        <w:rPr>
          <w:rFonts w:ascii="Times New Roman" w:hAnsi="Times New Roman"/>
          <w:i w:val="0"/>
          <w:iCs w:val="0"/>
          <w:sz w:val="24"/>
          <w:szCs w:val="24"/>
        </w:rPr>
      </w:r>
      <w:r/>
    </w:p>
    <w:p>
      <w:pPr>
        <w:contextualSpacing/>
        <w:ind w:left="0" w:right="0" w:firstLine="709"/>
        <w:jc w:val="both"/>
        <w:spacing w:after="0" w:line="240" w:lineRule="auto"/>
        <w:widowControl w:val="off"/>
        <w:rPr>
          <w:rFonts w:ascii="Times New Roman" w:hAnsi="Times New Roman"/>
          <w:bCs w:val="0"/>
          <w:i w:val="0"/>
          <w:sz w:val="24"/>
          <w:szCs w:val="24"/>
          <w:highlight w:val="none"/>
        </w:rPr>
        <w:outlineLvl w:val="0"/>
      </w:pPr>
      <w:r>
        <w:rPr>
          <w:rFonts w:ascii="Times New Roman" w:hAnsi="Times New Roman"/>
          <w:i w:val="0"/>
          <w:iCs w:val="0"/>
          <w:sz w:val="24"/>
          <w:szCs w:val="24"/>
        </w:rPr>
        <w:t xml:space="preserve">8. </w:t>
      </w:r>
      <w:r>
        <w:rPr>
          <w:rFonts w:ascii="Times New Roman" w:hAnsi="Times New Roman"/>
          <w:i w:val="0"/>
          <w:iCs w:val="0"/>
          <w:sz w:val="24"/>
          <w:szCs w:val="24"/>
        </w:rPr>
        <w:t xml:space="preserve">Депутатские объединения (фракции) регистрируются Аппаратом Думы</w:t>
      </w:r>
      <w:r>
        <w:rPr>
          <w:rFonts w:ascii="Times New Roman" w:hAnsi="Times New Roman"/>
          <w:i w:val="0"/>
          <w:iCs w:val="0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i w:val="0"/>
          <w:iCs w:val="0"/>
          <w:sz w:val="24"/>
          <w:szCs w:val="24"/>
        </w:rPr>
        <w:t xml:space="preserve">согласно </w:t>
      </w:r>
      <w:r>
        <w:rPr>
          <w:rFonts w:ascii="Times New Roman" w:hAnsi="Times New Roman"/>
          <w:i w:val="0"/>
          <w:iCs w:val="0"/>
          <w:sz w:val="24"/>
          <w:szCs w:val="24"/>
          <w:highlight w:val="none"/>
        </w:rPr>
        <w:t xml:space="preserve">резолюции председателя Думы в течение 7 рабочих дней со дня поступления уведомления.</w:t>
      </w:r>
      <w:r>
        <w:rPr>
          <w:rFonts w:ascii="Times New Roman" w:hAnsi="Times New Roman"/>
          <w:i w:val="0"/>
          <w:iCs w:val="0"/>
          <w:sz w:val="24"/>
          <w:szCs w:val="24"/>
          <w:highlight w:val="none"/>
        </w:rPr>
      </w:r>
    </w:p>
    <w:p>
      <w:pPr>
        <w:contextualSpacing/>
        <w:ind w:left="0" w:right="0"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9. В случае досрочного сложения полномочий депутат направляет</w:t>
      </w:r>
      <w:r>
        <w:rPr>
          <w:rFonts w:ascii="Times New Roman" w:hAnsi="Times New Roman"/>
          <w:sz w:val="24"/>
          <w:szCs w:val="24"/>
        </w:rPr>
        <w:t xml:space="preserve"> на имя руководителя депутатского объединения (фракции) письменное заявление о выходе из состава депутатского объединения (фракции).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 В случае изменения состава депутатского объединения (фракции) руководитель депутатского объединения (фракции) </w:t>
      </w:r>
      <w:r>
        <w:rPr>
          <w:rFonts w:ascii="Times New Roman" w:hAnsi="Times New Roman"/>
          <w:sz w:val="24"/>
          <w:szCs w:val="24"/>
        </w:rPr>
        <w:t xml:space="preserve">в течение пяти рабочих дней направляет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Думу </w:t>
      </w:r>
      <w:r>
        <w:rPr>
          <w:rFonts w:ascii="Times New Roman" w:hAnsi="Times New Roman"/>
          <w:sz w:val="24"/>
          <w:szCs w:val="24"/>
        </w:rPr>
        <w:t xml:space="preserve">письменное уведомление.</w:t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ind w:left="0" w:right="0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11. В случае прекращения деятельности политической партии в связи с ее ликвидацией или реорганизацией деятельность депутатского объединения (фракции)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Думе</w:t>
      </w:r>
      <w:r>
        <w:rPr>
          <w:rFonts w:ascii="Times New Roman" w:hAnsi="Times New Roman"/>
          <w:sz w:val="24"/>
          <w:szCs w:val="24"/>
        </w:rPr>
        <w:t xml:space="preserve">, а также членство депутатов в этом депутатском объединении (фракции) прекращается со дня внесения в единый государственный реестр юридических лиц соответствующей записи.</w:t>
      </w:r>
      <w:r>
        <w:rPr>
          <w:rFonts w:ascii="Times New Roman" w:hAnsi="Times New Roman"/>
          <w:sz w:val="28"/>
          <w:szCs w:val="28"/>
        </w:rPr>
      </w:r>
      <w:r/>
    </w:p>
    <w:p>
      <w:pPr>
        <w:contextualSpacing/>
        <w:ind w:left="0" w:right="0" w:firstLine="709"/>
        <w:jc w:val="both"/>
        <w:spacing w:after="0" w:line="240" w:lineRule="auto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12. Информация о прекращении деятельности политической партии в связи с ее ликвидацией или реорганизацией, а также членства депутатов в этом депутатском объединении (фракции) доводится до сведения депутатов на ближайшем заседании </w:t>
      </w:r>
      <w:r>
        <w:rPr>
          <w:rFonts w:ascii="Times New Roman" w:hAnsi="Times New Roman"/>
          <w:sz w:val="24"/>
          <w:szCs w:val="24"/>
        </w:rPr>
        <w:t xml:space="preserve">Думы.</w:t>
      </w:r>
      <w:r>
        <w:rPr>
          <w:rFonts w:ascii="Times New Roman" w:hAnsi="Times New Roman"/>
          <w:bCs/>
          <w:i/>
          <w:sz w:val="24"/>
          <w:szCs w:val="24"/>
        </w:rPr>
      </w:r>
      <w:r>
        <w:rPr>
          <w:rFonts w:ascii="Times New Roman" w:hAnsi="Times New Roman"/>
          <w:bCs/>
          <w:i/>
          <w:sz w:val="28"/>
          <w:szCs w:val="28"/>
        </w:rPr>
      </w:r>
    </w:p>
    <w:p>
      <w:pPr>
        <w:contextualSpacing/>
        <w:ind w:left="0" w:right="0" w:firstLine="709"/>
        <w:jc w:val="both"/>
        <w:spacing w:after="0" w:line="240" w:lineRule="auto"/>
        <w:rPr>
          <w:rFonts w:ascii="Times New Roman" w:hAnsi="Times New Roman"/>
          <w:bCs/>
          <w:i/>
          <w:sz w:val="28"/>
          <w:szCs w:val="28"/>
          <w:highlight w:val="white"/>
        </w:rPr>
      </w:pPr>
      <w:r>
        <w:rPr>
          <w:rFonts w:ascii="Times New Roman" w:hAnsi="Times New Roman"/>
          <w:sz w:val="24"/>
          <w:szCs w:val="24"/>
        </w:rPr>
        <w:t xml:space="preserve">13. Информация о зарегистрированных депутатских объединениях (фракциях) размещается на официальном сайте</w:t>
      </w:r>
      <w:r>
        <w:rPr>
          <w:rFonts w:ascii="Times New Roman" w:hAnsi="Times New Roman"/>
          <w:sz w:val="24"/>
          <w:szCs w:val="24"/>
        </w:rPr>
        <w:t xml:space="preserve"> Думы</w:t>
      </w:r>
      <w:r>
        <w:rPr>
          <w:rFonts w:ascii="Times New Roman" w:hAnsi="Times New Roman"/>
          <w:i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 xml:space="preserve">в информационно-телекоммуникационной сети </w:t>
      </w:r>
      <w:r>
        <w:rPr>
          <w:rFonts w:ascii="Times New Roman" w:hAnsi="Times New Roman"/>
          <w:sz w:val="24"/>
          <w:szCs w:val="24"/>
          <w:highlight w:val="white"/>
        </w:rPr>
        <w:t xml:space="preserve">«</w:t>
      </w:r>
      <w:r>
        <w:rPr>
          <w:rFonts w:ascii="Times New Roman" w:hAnsi="Times New Roman"/>
          <w:sz w:val="24"/>
          <w:szCs w:val="24"/>
          <w:highlight w:val="white"/>
        </w:rPr>
        <w:t xml:space="preserve">Интернет</w:t>
      </w:r>
      <w:r>
        <w:rPr>
          <w:rFonts w:ascii="Times New Roman" w:hAnsi="Times New Roman"/>
          <w:sz w:val="24"/>
          <w:szCs w:val="24"/>
          <w:highlight w:val="white"/>
        </w:rPr>
        <w:t xml:space="preserve">»</w:t>
      </w:r>
      <w:r>
        <w:rPr>
          <w:rFonts w:ascii="Times New Roman" w:hAnsi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/>
          <w:bCs/>
          <w:i/>
          <w:sz w:val="24"/>
          <w:szCs w:val="24"/>
          <w:highlight w:val="white"/>
        </w:rPr>
      </w:r>
      <w:r>
        <w:rPr>
          <w:rFonts w:ascii="Times New Roman" w:hAnsi="Times New Roman"/>
          <w:bCs/>
          <w:i/>
          <w:sz w:val="28"/>
          <w:szCs w:val="28"/>
          <w:highlight w:val="white"/>
        </w:rPr>
      </w:r>
    </w:p>
    <w:p>
      <w:pPr>
        <w:contextualSpacing/>
        <w:ind w:left="0" w:right="0"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14</w:t>
      </w:r>
      <w:r>
        <w:rPr>
          <w:rFonts w:ascii="Times New Roman" w:hAnsi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/>
          <w:sz w:val="24"/>
          <w:szCs w:val="24"/>
          <w:highlight w:val="white"/>
        </w:rPr>
        <w:t xml:space="preserve"> Руководитель депутатского объединения (фракции) направляет в</w:t>
      </w:r>
      <w:r>
        <w:rPr>
          <w:rFonts w:ascii="Times New Roman" w:hAnsi="Times New Roman"/>
          <w:sz w:val="24"/>
          <w:szCs w:val="24"/>
          <w:highlight w:val="white"/>
        </w:rPr>
        <w:t xml:space="preserve"> Думу </w:t>
      </w:r>
      <w:r>
        <w:rPr>
          <w:rFonts w:ascii="Times New Roman" w:hAnsi="Times New Roman"/>
          <w:sz w:val="24"/>
          <w:szCs w:val="24"/>
          <w:highlight w:val="white"/>
        </w:rPr>
        <w:t xml:space="preserve">Положение о депутатском объединении (фракции) в течение 5 рабочих дней со дня принятия.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contextualSpacing/>
        <w:ind w:left="0" w:right="0"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/>
          <w:sz w:val="24"/>
          <w:szCs w:val="24"/>
          <w:highlight w:val="white"/>
          <w:lang w:eastAsia="ru-RU"/>
        </w:rPr>
        <w:t xml:space="preserve">15</w:t>
      </w:r>
      <w:r>
        <w:rPr>
          <w:rFonts w:ascii="Times New Roman" w:hAnsi="Times New Roman" w:eastAsia="Times New Roman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/>
          <w:sz w:val="24"/>
          <w:szCs w:val="24"/>
          <w:highlight w:val="white"/>
          <w:lang w:eastAsia="ru-RU"/>
        </w:rPr>
        <w:t xml:space="preserve">. Депутатские объединения (фракции) вправе: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bCs/>
          <w:i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  <w:szCs w:val="24"/>
          <w:highlight w:val="white"/>
        </w:rPr>
        <w:t xml:space="preserve">1) </w:t>
      </w:r>
      <w:r>
        <w:rPr>
          <w:rFonts w:ascii="Times New Roman" w:hAnsi="Times New Roman"/>
          <w:sz w:val="24"/>
          <w:szCs w:val="24"/>
          <w:highlight w:val="white"/>
        </w:rPr>
        <w:t xml:space="preserve">самостоятельно организовывать свою внутреннюю деятельность</w:t>
      </w:r>
      <w:r>
        <w:rPr>
          <w:rFonts w:ascii="Times New Roman" w:hAnsi="Times New Roman"/>
          <w:i/>
          <w:iCs/>
          <w:sz w:val="24"/>
          <w:szCs w:val="24"/>
          <w:highlight w:val="white"/>
        </w:rPr>
        <w:t xml:space="preserve">;</w:t>
      </w:r>
      <w:r>
        <w:rPr>
          <w:rFonts w:ascii="Times New Roman" w:hAnsi="Times New Roman"/>
          <w:bCs/>
          <w:i/>
          <w:sz w:val="24"/>
          <w:szCs w:val="24"/>
          <w:highlight w:val="white"/>
        </w:rPr>
      </w:r>
      <w:r>
        <w:rPr>
          <w:rFonts w:ascii="Times New Roman" w:hAnsi="Times New Roman"/>
          <w:bCs/>
          <w:i/>
          <w:sz w:val="28"/>
          <w:szCs w:val="28"/>
          <w:highlight w:val="whit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  <w:szCs w:val="24"/>
          <w:highlight w:val="white"/>
        </w:rPr>
        <w:t xml:space="preserve">2) </w:t>
      </w:r>
      <w:r>
        <w:rPr>
          <w:rFonts w:ascii="Times New Roman" w:hAnsi="Times New Roman"/>
          <w:sz w:val="24"/>
          <w:szCs w:val="24"/>
          <w:highlight w:val="white"/>
        </w:rPr>
        <w:t xml:space="preserve">вносить предложения по проекту повестки заседания </w:t>
      </w:r>
      <w:r>
        <w:rPr>
          <w:rFonts w:ascii="Times New Roman" w:hAnsi="Times New Roman"/>
          <w:sz w:val="24"/>
          <w:szCs w:val="24"/>
          <w:highlight w:val="white"/>
        </w:rPr>
        <w:t xml:space="preserve">Д</w:t>
      </w:r>
      <w:r>
        <w:rPr>
          <w:rFonts w:ascii="Times New Roman" w:hAnsi="Times New Roman"/>
          <w:sz w:val="24"/>
          <w:szCs w:val="24"/>
          <w:highlight w:val="white"/>
        </w:rPr>
        <w:t xml:space="preserve">у</w:t>
      </w:r>
      <w:r>
        <w:rPr>
          <w:rFonts w:ascii="Times New Roman" w:hAnsi="Times New Roman"/>
          <w:sz w:val="24"/>
          <w:szCs w:val="24"/>
          <w:highlight w:val="white"/>
        </w:rPr>
        <w:t xml:space="preserve">м</w:t>
      </w:r>
      <w:r>
        <w:rPr>
          <w:rFonts w:ascii="Times New Roman" w:hAnsi="Times New Roman"/>
          <w:sz w:val="24"/>
          <w:szCs w:val="24"/>
          <w:highlight w:val="white"/>
        </w:rPr>
        <w:t xml:space="preserve">ы</w:t>
      </w:r>
      <w:r>
        <w:rPr>
          <w:rFonts w:ascii="Times New Roman" w:hAnsi="Times New Roman"/>
          <w:sz w:val="24"/>
          <w:szCs w:val="24"/>
          <w:highlight w:val="white"/>
        </w:rPr>
        <w:t xml:space="preserve">;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bCs/>
          <w:i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</w:rPr>
        <w:t xml:space="preserve">3) </w:t>
      </w:r>
      <w:r>
        <w:rPr>
          <w:rFonts w:ascii="Times New Roman" w:hAnsi="Times New Roman"/>
          <w:sz w:val="24"/>
          <w:szCs w:val="24"/>
        </w:rPr>
        <w:t xml:space="preserve">выдвигать кандидатов на должность председателя</w:t>
      </w:r>
      <w:r>
        <w:rPr>
          <w:rFonts w:ascii="Times New Roman" w:hAnsi="Times New Roman"/>
          <w:sz w:val="24"/>
          <w:szCs w:val="24"/>
        </w:rPr>
        <w:t xml:space="preserve"> Думы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highlight w:val="white"/>
        </w:rPr>
        <w:t xml:space="preserve">заместителей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председателя Думы</w:t>
      </w:r>
      <w:r>
        <w:rPr>
          <w:rFonts w:ascii="Times New Roman" w:hAnsi="Times New Roman"/>
          <w:sz w:val="24"/>
          <w:szCs w:val="24"/>
        </w:rPr>
        <w:t xml:space="preserve">, председателей постоянных комиссий, кандидатов в члены постоянных комиссий</w:t>
      </w:r>
      <w:r>
        <w:rPr>
          <w:rFonts w:ascii="Times New Roman" w:hAnsi="Times New Roman"/>
          <w:i/>
          <w:sz w:val="24"/>
          <w:szCs w:val="24"/>
          <w:highlight w:val="white"/>
        </w:rPr>
        <w:t xml:space="preserve">;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bCs/>
          <w:i/>
          <w:sz w:val="24"/>
          <w:szCs w:val="24"/>
          <w:highlight w:val="whit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i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</w:rPr>
        <w:t xml:space="preserve">4) осуществлять предваритель</w:t>
      </w:r>
      <w:r>
        <w:rPr>
          <w:rFonts w:ascii="Times New Roman" w:hAnsi="Times New Roman"/>
          <w:sz w:val="24"/>
          <w:szCs w:val="24"/>
        </w:rPr>
        <w:t xml:space="preserve">ное обсуждение проектов решений Думы</w:t>
      </w:r>
      <w:r>
        <w:rPr>
          <w:rFonts w:ascii="Times New Roman" w:hAnsi="Times New Roman"/>
          <w:sz w:val="24"/>
          <w:szCs w:val="24"/>
        </w:rPr>
        <w:t xml:space="preserve">, внесенных на рассмотрение Думы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  <w:szCs w:val="24"/>
          <w:highlight w:val="white"/>
        </w:rPr>
        <w:t xml:space="preserve">5) </w:t>
      </w:r>
      <w:r>
        <w:rPr>
          <w:rFonts w:ascii="Times New Roman" w:hAnsi="Times New Roman"/>
          <w:sz w:val="24"/>
          <w:szCs w:val="24"/>
          <w:highlight w:val="white"/>
        </w:rPr>
        <w:t xml:space="preserve">приглашать на </w:t>
      </w:r>
      <w:r>
        <w:rPr>
          <w:rFonts w:ascii="Times New Roman" w:hAnsi="Times New Roman"/>
          <w:sz w:val="24"/>
          <w:szCs w:val="24"/>
          <w:highlight w:val="white"/>
        </w:rPr>
        <w:t xml:space="preserve">свои заседания представителей органов </w:t>
      </w:r>
      <w:r>
        <w:rPr>
          <w:rFonts w:ascii="Times New Roman" w:hAnsi="Times New Roman"/>
          <w:sz w:val="24"/>
          <w:szCs w:val="24"/>
          <w:highlight w:val="white"/>
        </w:rPr>
        <w:t xml:space="preserve">государственной власти Ханты-Мансийского автономного округа </w:t>
      </w:r>
      <w:r>
        <w:rPr>
          <w:rFonts w:ascii="Times New Roman" w:hAnsi="Times New Roman"/>
          <w:sz w:val="24"/>
          <w:szCs w:val="24"/>
          <w:highlight w:val="white"/>
          <w:lang w:eastAsia="ar-SA"/>
        </w:rPr>
        <w:t xml:space="preserve">– Югры</w:t>
      </w:r>
      <w:r>
        <w:rPr>
          <w:rFonts w:ascii="Times New Roman" w:hAnsi="Times New Roman"/>
          <w:sz w:val="24"/>
          <w:szCs w:val="24"/>
          <w:highlight w:val="white"/>
        </w:rPr>
        <w:t xml:space="preserve">, органов местного самоуправления </w:t>
      </w:r>
      <w:r>
        <w:rPr>
          <w:rFonts w:ascii="Times New Roman" w:hAnsi="Times New Roman"/>
          <w:sz w:val="24"/>
          <w:szCs w:val="24"/>
          <w:highlight w:val="white"/>
        </w:rPr>
        <w:t xml:space="preserve">города Мегиона</w:t>
      </w:r>
      <w:r>
        <w:rPr>
          <w:rFonts w:ascii="Times New Roman" w:hAnsi="Times New Roman"/>
          <w:sz w:val="24"/>
          <w:szCs w:val="24"/>
          <w:highlight w:val="white"/>
        </w:rPr>
        <w:t xml:space="preserve">, общественных организаций, а также специалистов, экспертов и иных лиц;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  <w:szCs w:val="24"/>
          <w:highlight w:val="white"/>
        </w:rPr>
        <w:t xml:space="preserve">6) </w:t>
      </w:r>
      <w:r>
        <w:rPr>
          <w:rFonts w:ascii="Times New Roman" w:hAnsi="Times New Roman"/>
          <w:sz w:val="24"/>
          <w:szCs w:val="24"/>
          <w:highlight w:val="white"/>
        </w:rPr>
        <w:t xml:space="preserve">обращаться с запросами в государственные органы, органы местного самоуправления, к должностным лицам, организациям и гражданам в порядке, установленном законодательством Российской Федерации;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  <w:szCs w:val="24"/>
          <w:highlight w:val="white"/>
        </w:rPr>
        <w:t xml:space="preserve">7) </w:t>
      </w:r>
      <w:r>
        <w:rPr>
          <w:rFonts w:ascii="Times New Roman" w:hAnsi="Times New Roman"/>
          <w:sz w:val="24"/>
          <w:szCs w:val="24"/>
          <w:highlight w:val="white"/>
        </w:rPr>
        <w:t xml:space="preserve">рассматривать обращения и предложения граждан, юридических лиц, поступившие в депутатские объединения (фракции).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  <w:szCs w:val="24"/>
          <w:highlight w:val="white"/>
        </w:rPr>
        <w:t xml:space="preserve">16</w:t>
      </w:r>
      <w:r>
        <w:rPr>
          <w:rFonts w:ascii="Times New Roman" w:hAnsi="Times New Roman"/>
          <w:sz w:val="24"/>
          <w:szCs w:val="24"/>
          <w:highlight w:val="white"/>
        </w:rPr>
        <w:t xml:space="preserve">. </w:t>
      </w:r>
      <w:r>
        <w:rPr>
          <w:rFonts w:ascii="Times New Roman" w:hAnsi="Times New Roman"/>
          <w:sz w:val="24"/>
          <w:szCs w:val="24"/>
          <w:highlight w:val="white"/>
        </w:rPr>
        <w:t xml:space="preserve">При необходимости для выработки совместных решений представителями различных депутатских объединений (фракций) могут проводиться совместные заседания.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4"/>
          <w:szCs w:val="24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/>
          <w:sz w:val="24"/>
          <w:szCs w:val="24"/>
        </w:rPr>
        <w:t xml:space="preserve">17.</w:t>
      </w:r>
      <w:r>
        <w:rPr>
          <w:rFonts w:ascii="Times New Roman" w:hAnsi="Times New Roman"/>
          <w:color w:val="000000"/>
          <w:sz w:val="24"/>
          <w:szCs w:val="24"/>
        </w:rPr>
        <w:t xml:space="preserve"> Организационное, документационное, информационное обеспечение деятельности депутатских объединений (фракций) осуществляет Аппарат Думы.».</w:t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contextualSpacing/>
        <w:jc w:val="center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outlineLvl w:val="0"/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contextualSpacing/>
        <w:jc w:val="center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outlineLvl w:val="0"/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contextualSpacing/>
        <w:jc w:val="center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outlineLvl w:val="0"/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contextualSpacing/>
        <w:jc w:val="center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outlineLvl w:val="0"/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contextualSpacing/>
        <w:jc w:val="center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outlineLvl w:val="0"/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contextualSpacing/>
        <w:jc w:val="center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outlineLvl w:val="0"/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contextualSpacing/>
        <w:jc w:val="center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outlineLvl w:val="0"/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contextualSpacing/>
        <w:jc w:val="center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outlineLvl w:val="0"/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contextualSpacing/>
        <w:jc w:val="center"/>
        <w:spacing w:after="0" w:line="240" w:lineRule="auto"/>
        <w:widowControl w:val="off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outlineLvl w:val="0"/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1134" w:right="567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Calibri">
    <w:panose1 w:val="020F0502020204030204"/>
  </w:font>
  <w:font w:name="Segoe UI">
    <w:panose1 w:val="020B0502040204020203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920607061"/>
      <w:docPartObj>
        <w:docPartGallery w:val="Page Numbers (Top of Page)"/>
        <w:docPartUnique w:val="true"/>
      </w:docPartObj>
      <w:rPr/>
    </w:sdtPr>
    <w:sdtContent>
      <w:p>
        <w:pPr>
          <w:pStyle w:val="896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9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6"/>
      <w:jc w:val="right"/>
      <w:rPr>
        <w:rFonts w:ascii="Times New Roman" w:hAnsi="Times New Roman" w:cs="Times New Roman"/>
        <w:color w:val="000000" w:themeColor="text1"/>
        <w:sz w:val="24"/>
        <w:szCs w:val="24"/>
      </w:rPr>
    </w:pPr>
    <w:r>
      <w:rPr>
        <w:rFonts w:ascii="Times New Roman" w:hAnsi="Times New Roman" w:cs="Times New Roman"/>
        <w:color w:val="000000" w:themeColor="text1"/>
        <w:sz w:val="24"/>
        <w:szCs w:val="24"/>
      </w:rPr>
      <w:t xml:space="preserve">ПРОЕКТ</w:t>
    </w:r>
    <w:r>
      <w:rPr>
        <w:rFonts w:ascii="Times New Roman" w:hAnsi="Times New Roman" w:cs="Times New Roman"/>
        <w:color w:val="000000" w:themeColor="text1"/>
        <w:sz w:val="24"/>
        <w:szCs w:val="24"/>
      </w:rPr>
    </w:r>
    <w:r>
      <w:rPr>
        <w:rFonts w:ascii="Times New Roman" w:hAnsi="Times New Roman" w:cs="Times New Roman"/>
        <w:color w:val="000000" w:themeColor="text1"/>
        <w:sz w:val="24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84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56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8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0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72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44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6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8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03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8">
    <w:name w:val="Title Char"/>
    <w:basedOn w:val="715"/>
    <w:link w:val="738"/>
    <w:uiPriority w:val="10"/>
    <w:rPr>
      <w:sz w:val="48"/>
      <w:szCs w:val="48"/>
    </w:rPr>
  </w:style>
  <w:style w:type="character" w:styleId="709">
    <w:name w:val="Subtitle Char"/>
    <w:basedOn w:val="715"/>
    <w:link w:val="740"/>
    <w:uiPriority w:val="11"/>
    <w:rPr>
      <w:sz w:val="24"/>
      <w:szCs w:val="24"/>
    </w:rPr>
  </w:style>
  <w:style w:type="character" w:styleId="710">
    <w:name w:val="Quote Char"/>
    <w:link w:val="742"/>
    <w:uiPriority w:val="29"/>
    <w:rPr>
      <w:i/>
    </w:rPr>
  </w:style>
  <w:style w:type="character" w:styleId="711">
    <w:name w:val="Intense Quote Char"/>
    <w:link w:val="744"/>
    <w:uiPriority w:val="30"/>
    <w:rPr>
      <w:i/>
    </w:rPr>
  </w:style>
  <w:style w:type="character" w:styleId="712">
    <w:name w:val="Footnote Text Char"/>
    <w:link w:val="877"/>
    <w:uiPriority w:val="99"/>
    <w:rPr>
      <w:sz w:val="18"/>
    </w:rPr>
  </w:style>
  <w:style w:type="character" w:styleId="713">
    <w:name w:val="Endnote Text Char"/>
    <w:link w:val="880"/>
    <w:uiPriority w:val="99"/>
    <w:rPr>
      <w:sz w:val="20"/>
    </w:rPr>
  </w:style>
  <w:style w:type="paragraph" w:styleId="714" w:default="1">
    <w:name w:val="Normal"/>
    <w:qFormat/>
  </w:style>
  <w:style w:type="character" w:styleId="715" w:default="1">
    <w:name w:val="Default Paragraph Font"/>
    <w:uiPriority w:val="1"/>
    <w:semiHidden/>
    <w:unhideWhenUsed/>
  </w:style>
  <w:style w:type="table" w:styleId="71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7" w:default="1">
    <w:name w:val="No List"/>
    <w:uiPriority w:val="99"/>
    <w:semiHidden/>
    <w:unhideWhenUsed/>
  </w:style>
  <w:style w:type="paragraph" w:styleId="718" w:customStyle="1">
    <w:name w:val="Heading 1"/>
    <w:basedOn w:val="714"/>
    <w:next w:val="714"/>
    <w:link w:val="71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19" w:customStyle="1">
    <w:name w:val="Heading 1 Char"/>
    <w:basedOn w:val="715"/>
    <w:link w:val="718"/>
    <w:uiPriority w:val="9"/>
    <w:rPr>
      <w:rFonts w:ascii="Arial" w:hAnsi="Arial" w:eastAsia="Arial" w:cs="Arial"/>
      <w:sz w:val="40"/>
      <w:szCs w:val="40"/>
    </w:rPr>
  </w:style>
  <w:style w:type="paragraph" w:styleId="720" w:customStyle="1">
    <w:name w:val="Heading 2"/>
    <w:basedOn w:val="714"/>
    <w:next w:val="714"/>
    <w:link w:val="72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1" w:customStyle="1">
    <w:name w:val="Heading 2 Char"/>
    <w:basedOn w:val="715"/>
    <w:link w:val="720"/>
    <w:uiPriority w:val="9"/>
    <w:rPr>
      <w:rFonts w:ascii="Arial" w:hAnsi="Arial" w:eastAsia="Arial" w:cs="Arial"/>
      <w:sz w:val="34"/>
    </w:rPr>
  </w:style>
  <w:style w:type="paragraph" w:styleId="722" w:customStyle="1">
    <w:name w:val="Heading 3"/>
    <w:basedOn w:val="714"/>
    <w:next w:val="714"/>
    <w:link w:val="72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3" w:customStyle="1">
    <w:name w:val="Heading 3 Char"/>
    <w:basedOn w:val="715"/>
    <w:link w:val="722"/>
    <w:uiPriority w:val="9"/>
    <w:rPr>
      <w:rFonts w:ascii="Arial" w:hAnsi="Arial" w:eastAsia="Arial" w:cs="Arial"/>
      <w:sz w:val="30"/>
      <w:szCs w:val="30"/>
    </w:rPr>
  </w:style>
  <w:style w:type="paragraph" w:styleId="724" w:customStyle="1">
    <w:name w:val="Heading 4"/>
    <w:basedOn w:val="714"/>
    <w:next w:val="714"/>
    <w:link w:val="72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5" w:customStyle="1">
    <w:name w:val="Heading 4 Char"/>
    <w:basedOn w:val="715"/>
    <w:link w:val="724"/>
    <w:uiPriority w:val="9"/>
    <w:rPr>
      <w:rFonts w:ascii="Arial" w:hAnsi="Arial" w:eastAsia="Arial" w:cs="Arial"/>
      <w:b/>
      <w:bCs/>
      <w:sz w:val="26"/>
      <w:szCs w:val="26"/>
    </w:rPr>
  </w:style>
  <w:style w:type="paragraph" w:styleId="726" w:customStyle="1">
    <w:name w:val="Heading 5"/>
    <w:basedOn w:val="714"/>
    <w:next w:val="714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7" w:customStyle="1">
    <w:name w:val="Heading 5 Char"/>
    <w:basedOn w:val="715"/>
    <w:link w:val="726"/>
    <w:uiPriority w:val="9"/>
    <w:rPr>
      <w:rFonts w:ascii="Arial" w:hAnsi="Arial" w:eastAsia="Arial" w:cs="Arial"/>
      <w:b/>
      <w:bCs/>
      <w:sz w:val="24"/>
      <w:szCs w:val="24"/>
    </w:rPr>
  </w:style>
  <w:style w:type="paragraph" w:styleId="728" w:customStyle="1">
    <w:name w:val="Heading 6"/>
    <w:basedOn w:val="714"/>
    <w:next w:val="714"/>
    <w:link w:val="72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character" w:styleId="729" w:customStyle="1">
    <w:name w:val="Heading 6 Char"/>
    <w:basedOn w:val="715"/>
    <w:link w:val="728"/>
    <w:uiPriority w:val="9"/>
    <w:rPr>
      <w:rFonts w:ascii="Arial" w:hAnsi="Arial" w:eastAsia="Arial" w:cs="Arial"/>
      <w:b/>
      <w:bCs/>
      <w:sz w:val="22"/>
      <w:szCs w:val="22"/>
    </w:rPr>
  </w:style>
  <w:style w:type="paragraph" w:styleId="730" w:customStyle="1">
    <w:name w:val="Heading 7"/>
    <w:basedOn w:val="714"/>
    <w:next w:val="714"/>
    <w:link w:val="73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character" w:styleId="731" w:customStyle="1">
    <w:name w:val="Heading 7 Char"/>
    <w:basedOn w:val="715"/>
    <w:link w:val="73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2" w:customStyle="1">
    <w:name w:val="Heading 8"/>
    <w:basedOn w:val="714"/>
    <w:next w:val="714"/>
    <w:link w:val="73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character" w:styleId="733" w:customStyle="1">
    <w:name w:val="Heading 8 Char"/>
    <w:basedOn w:val="715"/>
    <w:link w:val="732"/>
    <w:uiPriority w:val="9"/>
    <w:rPr>
      <w:rFonts w:ascii="Arial" w:hAnsi="Arial" w:eastAsia="Arial" w:cs="Arial"/>
      <w:i/>
      <w:iCs/>
      <w:sz w:val="22"/>
      <w:szCs w:val="22"/>
    </w:rPr>
  </w:style>
  <w:style w:type="paragraph" w:styleId="734" w:customStyle="1">
    <w:name w:val="Heading 9"/>
    <w:basedOn w:val="714"/>
    <w:next w:val="714"/>
    <w:link w:val="73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5" w:customStyle="1">
    <w:name w:val="Heading 9 Char"/>
    <w:basedOn w:val="715"/>
    <w:link w:val="734"/>
    <w:uiPriority w:val="9"/>
    <w:rPr>
      <w:rFonts w:ascii="Arial" w:hAnsi="Arial" w:eastAsia="Arial" w:cs="Arial"/>
      <w:i/>
      <w:iCs/>
      <w:sz w:val="21"/>
      <w:szCs w:val="21"/>
    </w:rPr>
  </w:style>
  <w:style w:type="paragraph" w:styleId="736">
    <w:name w:val="List Paragraph"/>
    <w:basedOn w:val="714"/>
    <w:uiPriority w:val="34"/>
    <w:qFormat/>
    <w:pPr>
      <w:contextualSpacing/>
      <w:ind w:left="720"/>
    </w:pPr>
  </w:style>
  <w:style w:type="paragraph" w:styleId="737">
    <w:name w:val="No Spacing"/>
    <w:uiPriority w:val="1"/>
    <w:qFormat/>
    <w:pPr>
      <w:spacing w:after="0" w:line="240" w:lineRule="auto"/>
    </w:pPr>
  </w:style>
  <w:style w:type="paragraph" w:styleId="738">
    <w:name w:val="Title"/>
    <w:basedOn w:val="714"/>
    <w:next w:val="714"/>
    <w:link w:val="73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9" w:customStyle="1">
    <w:name w:val="Название Знак"/>
    <w:basedOn w:val="715"/>
    <w:link w:val="738"/>
    <w:uiPriority w:val="10"/>
    <w:rPr>
      <w:sz w:val="48"/>
      <w:szCs w:val="48"/>
    </w:rPr>
  </w:style>
  <w:style w:type="paragraph" w:styleId="740">
    <w:name w:val="Subtitle"/>
    <w:basedOn w:val="714"/>
    <w:next w:val="714"/>
    <w:link w:val="741"/>
    <w:uiPriority w:val="11"/>
    <w:qFormat/>
    <w:pPr>
      <w:spacing w:before="200" w:after="200"/>
    </w:pPr>
    <w:rPr>
      <w:sz w:val="24"/>
      <w:szCs w:val="24"/>
    </w:rPr>
  </w:style>
  <w:style w:type="character" w:styleId="741" w:customStyle="1">
    <w:name w:val="Подзаголовок Знак"/>
    <w:basedOn w:val="715"/>
    <w:link w:val="740"/>
    <w:uiPriority w:val="11"/>
    <w:rPr>
      <w:sz w:val="24"/>
      <w:szCs w:val="24"/>
    </w:rPr>
  </w:style>
  <w:style w:type="paragraph" w:styleId="742">
    <w:name w:val="Quote"/>
    <w:basedOn w:val="714"/>
    <w:next w:val="714"/>
    <w:link w:val="743"/>
    <w:uiPriority w:val="29"/>
    <w:qFormat/>
    <w:pPr>
      <w:ind w:left="720" w:right="720"/>
    </w:pPr>
    <w:rPr>
      <w:i/>
    </w:rPr>
  </w:style>
  <w:style w:type="character" w:styleId="743" w:customStyle="1">
    <w:name w:val="Цитата 2 Знак"/>
    <w:link w:val="742"/>
    <w:uiPriority w:val="29"/>
    <w:rPr>
      <w:i/>
    </w:rPr>
  </w:style>
  <w:style w:type="paragraph" w:styleId="744">
    <w:name w:val="Intense Quote"/>
    <w:basedOn w:val="714"/>
    <w:next w:val="714"/>
    <w:link w:val="74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5" w:customStyle="1">
    <w:name w:val="Выделенная цитата Знак"/>
    <w:link w:val="744"/>
    <w:uiPriority w:val="30"/>
    <w:rPr>
      <w:i/>
    </w:rPr>
  </w:style>
  <w:style w:type="character" w:styleId="746" w:customStyle="1">
    <w:name w:val="Header Char"/>
    <w:basedOn w:val="715"/>
    <w:link w:val="896"/>
    <w:uiPriority w:val="99"/>
  </w:style>
  <w:style w:type="character" w:styleId="747" w:customStyle="1">
    <w:name w:val="Footer Char"/>
    <w:basedOn w:val="715"/>
    <w:link w:val="898"/>
    <w:uiPriority w:val="99"/>
  </w:style>
  <w:style w:type="paragraph" w:styleId="748" w:customStyle="1">
    <w:name w:val="Caption"/>
    <w:basedOn w:val="714"/>
    <w:next w:val="714"/>
    <w:link w:val="749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49" w:customStyle="1">
    <w:name w:val="Caption Char"/>
    <w:basedOn w:val="715"/>
    <w:link w:val="748"/>
    <w:uiPriority w:val="35"/>
    <w:rPr>
      <w:b/>
      <w:bCs/>
      <w:color w:val="5b9bd5" w:themeColor="accent1"/>
      <w:sz w:val="18"/>
      <w:szCs w:val="18"/>
    </w:rPr>
  </w:style>
  <w:style w:type="table" w:styleId="750">
    <w:name w:val="Table Grid"/>
    <w:basedOn w:val="71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1" w:customStyle="1">
    <w:name w:val="Table Grid Light"/>
    <w:basedOn w:val="716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2" w:customStyle="1">
    <w:name w:val="Plain Table 1"/>
    <w:basedOn w:val="716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 w:customStyle="1">
    <w:name w:val="Plain Table 2"/>
    <w:basedOn w:val="71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4" w:customStyle="1">
    <w:name w:val="Plain Table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5" w:customStyle="1">
    <w:name w:val="Plain Table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Plain Table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1 Light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1 Light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Grid Table 1 Light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2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2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2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2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3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3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3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4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9" w:customStyle="1">
    <w:name w:val="Grid Table 4 - Accent 1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80" w:customStyle="1">
    <w:name w:val="Grid Table 4 - Accent 2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81" w:customStyle="1">
    <w:name w:val="Grid Table 4 - Accent 3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82" w:customStyle="1">
    <w:name w:val="Grid Table 4 - Accent 4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83" w:customStyle="1">
    <w:name w:val="Grid Table 4 - Accent 5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84" w:customStyle="1">
    <w:name w:val="Grid Table 4 - Accent 6"/>
    <w:basedOn w:val="7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85" w:customStyle="1">
    <w:name w:val="Grid Table 5 Dark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88" w:customStyle="1">
    <w:name w:val="Grid Table 5 Dark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89" w:customStyle="1">
    <w:name w:val="Grid Table 5 Dark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90" w:customStyle="1">
    <w:name w:val="Grid Table 5 Dark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91" w:customStyle="1">
    <w:name w:val="Grid Table 5 Dark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92" w:customStyle="1">
    <w:name w:val="Grid Table 6 Colorful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3" w:customStyle="1">
    <w:name w:val="Grid Table 6 Colorful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94" w:customStyle="1">
    <w:name w:val="Grid Table 6 Colorful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95" w:customStyle="1">
    <w:name w:val="Grid Table 6 Colorful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96" w:customStyle="1">
    <w:name w:val="Grid Table 6 Colorful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97" w:customStyle="1">
    <w:name w:val="Grid Table 6 Colorful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8" w:customStyle="1">
    <w:name w:val="Grid Table 6 Colorful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9" w:customStyle="1">
    <w:name w:val="Grid Table 7 Colorful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7 Colorful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7 Colorful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7 Colorful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7 Colorful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1 Light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1 Light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1 Light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16" w:customStyle="1">
    <w:name w:val="List Table 2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17" w:customStyle="1">
    <w:name w:val="List Table 2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18" w:customStyle="1">
    <w:name w:val="List Table 2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19" w:customStyle="1">
    <w:name w:val="List Table 2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20" w:customStyle="1">
    <w:name w:val="List Table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3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3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4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5 Dark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 w:customStyle="1">
    <w:name w:val="List Table 5 Dark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5 Dark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 w:customStyle="1">
    <w:name w:val="List Table 5 Dark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List Table 6 Colorful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2" w:customStyle="1">
    <w:name w:val="List Table 6 Colorful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43" w:customStyle="1">
    <w:name w:val="List Table 6 Colorful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44" w:customStyle="1">
    <w:name w:val="List Table 6 Colorful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45" w:customStyle="1">
    <w:name w:val="List Table 6 Colorful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46" w:customStyle="1">
    <w:name w:val="List Table 6 Colorful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47" w:customStyle="1">
    <w:name w:val="List Table 6 Colorful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48" w:customStyle="1">
    <w:name w:val="List Table 7 Colorful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7 Colorful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7 Colorful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7 Colorful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7 Colorful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ned - Accent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6" w:customStyle="1">
    <w:name w:val="Lined - Accent 1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7" w:customStyle="1">
    <w:name w:val="Lined - Accent 2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8" w:customStyle="1">
    <w:name w:val="Lined - Accent 3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9" w:customStyle="1">
    <w:name w:val="Lined - Accent 4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0" w:customStyle="1">
    <w:name w:val="Lined - Accent 5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1" w:customStyle="1">
    <w:name w:val="Lined - Accent 6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2" w:customStyle="1">
    <w:name w:val="Bordered &amp; Lined - Accent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3" w:customStyle="1">
    <w:name w:val="Bordered &amp; Lined - Accent 1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4" w:customStyle="1">
    <w:name w:val="Bordered &amp; Lined - Accent 2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5" w:customStyle="1">
    <w:name w:val="Bordered &amp; Lined - Accent 3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6" w:customStyle="1">
    <w:name w:val="Bordered &amp; Lined - Accent 4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7" w:customStyle="1">
    <w:name w:val="Bordered &amp; Lined - Accent 5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8" w:customStyle="1">
    <w:name w:val="Bordered &amp; Lined - Accent 6"/>
    <w:basedOn w:val="71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9" w:customStyle="1">
    <w:name w:val="Bordered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0" w:customStyle="1">
    <w:name w:val="Bordered - Accent 1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71" w:customStyle="1">
    <w:name w:val="Bordered - Accent 2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72" w:customStyle="1">
    <w:name w:val="Bordered - Accent 3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73" w:customStyle="1">
    <w:name w:val="Bordered - Accent 4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74" w:customStyle="1">
    <w:name w:val="Bordered - Accent 5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75" w:customStyle="1">
    <w:name w:val="Bordered - Accent 6"/>
    <w:basedOn w:val="7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76">
    <w:name w:val="Hyperlink"/>
    <w:uiPriority w:val="99"/>
    <w:unhideWhenUsed/>
    <w:rPr>
      <w:color w:val="0563c1" w:themeColor="hyperlink"/>
      <w:u w:val="single"/>
    </w:rPr>
  </w:style>
  <w:style w:type="paragraph" w:styleId="877">
    <w:name w:val="footnote text"/>
    <w:basedOn w:val="714"/>
    <w:link w:val="878"/>
    <w:uiPriority w:val="99"/>
    <w:semiHidden/>
    <w:unhideWhenUsed/>
    <w:pPr>
      <w:spacing w:after="40" w:line="240" w:lineRule="auto"/>
    </w:pPr>
    <w:rPr>
      <w:sz w:val="18"/>
    </w:rPr>
  </w:style>
  <w:style w:type="character" w:styleId="878" w:customStyle="1">
    <w:name w:val="Текст сноски Знак"/>
    <w:link w:val="877"/>
    <w:uiPriority w:val="99"/>
    <w:rPr>
      <w:sz w:val="18"/>
    </w:rPr>
  </w:style>
  <w:style w:type="character" w:styleId="879">
    <w:name w:val="footnote reference"/>
    <w:basedOn w:val="715"/>
    <w:uiPriority w:val="99"/>
    <w:unhideWhenUsed/>
    <w:rPr>
      <w:vertAlign w:val="superscript"/>
    </w:rPr>
  </w:style>
  <w:style w:type="paragraph" w:styleId="880">
    <w:name w:val="endnote text"/>
    <w:basedOn w:val="714"/>
    <w:link w:val="881"/>
    <w:uiPriority w:val="99"/>
    <w:semiHidden/>
    <w:unhideWhenUsed/>
    <w:pPr>
      <w:spacing w:after="0" w:line="240" w:lineRule="auto"/>
    </w:pPr>
    <w:rPr>
      <w:sz w:val="20"/>
    </w:rPr>
  </w:style>
  <w:style w:type="character" w:styleId="881" w:customStyle="1">
    <w:name w:val="Текст концевой сноски Знак"/>
    <w:link w:val="880"/>
    <w:uiPriority w:val="99"/>
    <w:rPr>
      <w:sz w:val="20"/>
    </w:rPr>
  </w:style>
  <w:style w:type="character" w:styleId="882">
    <w:name w:val="endnote reference"/>
    <w:basedOn w:val="715"/>
    <w:uiPriority w:val="99"/>
    <w:semiHidden/>
    <w:unhideWhenUsed/>
    <w:rPr>
      <w:vertAlign w:val="superscript"/>
    </w:rPr>
  </w:style>
  <w:style w:type="paragraph" w:styleId="883">
    <w:name w:val="toc 1"/>
    <w:basedOn w:val="714"/>
    <w:next w:val="714"/>
    <w:uiPriority w:val="39"/>
    <w:unhideWhenUsed/>
    <w:pPr>
      <w:spacing w:after="57"/>
    </w:pPr>
  </w:style>
  <w:style w:type="paragraph" w:styleId="884">
    <w:name w:val="toc 2"/>
    <w:basedOn w:val="714"/>
    <w:next w:val="714"/>
    <w:uiPriority w:val="39"/>
    <w:unhideWhenUsed/>
    <w:pPr>
      <w:ind w:left="283"/>
      <w:spacing w:after="57"/>
    </w:pPr>
  </w:style>
  <w:style w:type="paragraph" w:styleId="885">
    <w:name w:val="toc 3"/>
    <w:basedOn w:val="714"/>
    <w:next w:val="714"/>
    <w:uiPriority w:val="39"/>
    <w:unhideWhenUsed/>
    <w:pPr>
      <w:ind w:left="567"/>
      <w:spacing w:after="57"/>
    </w:pPr>
  </w:style>
  <w:style w:type="paragraph" w:styleId="886">
    <w:name w:val="toc 4"/>
    <w:basedOn w:val="714"/>
    <w:next w:val="714"/>
    <w:uiPriority w:val="39"/>
    <w:unhideWhenUsed/>
    <w:pPr>
      <w:ind w:left="850"/>
      <w:spacing w:after="57"/>
    </w:pPr>
  </w:style>
  <w:style w:type="paragraph" w:styleId="887">
    <w:name w:val="toc 5"/>
    <w:basedOn w:val="714"/>
    <w:next w:val="714"/>
    <w:uiPriority w:val="39"/>
    <w:unhideWhenUsed/>
    <w:pPr>
      <w:ind w:left="1134"/>
      <w:spacing w:after="57"/>
    </w:pPr>
  </w:style>
  <w:style w:type="paragraph" w:styleId="888">
    <w:name w:val="toc 6"/>
    <w:basedOn w:val="714"/>
    <w:next w:val="714"/>
    <w:uiPriority w:val="39"/>
    <w:unhideWhenUsed/>
    <w:pPr>
      <w:ind w:left="1417"/>
      <w:spacing w:after="57"/>
    </w:pPr>
  </w:style>
  <w:style w:type="paragraph" w:styleId="889">
    <w:name w:val="toc 7"/>
    <w:basedOn w:val="714"/>
    <w:next w:val="714"/>
    <w:uiPriority w:val="39"/>
    <w:unhideWhenUsed/>
    <w:pPr>
      <w:ind w:left="1701"/>
      <w:spacing w:after="57"/>
    </w:pPr>
  </w:style>
  <w:style w:type="paragraph" w:styleId="890">
    <w:name w:val="toc 8"/>
    <w:basedOn w:val="714"/>
    <w:next w:val="714"/>
    <w:uiPriority w:val="39"/>
    <w:unhideWhenUsed/>
    <w:pPr>
      <w:ind w:left="1984"/>
      <w:spacing w:after="57"/>
    </w:pPr>
  </w:style>
  <w:style w:type="paragraph" w:styleId="891">
    <w:name w:val="toc 9"/>
    <w:basedOn w:val="714"/>
    <w:next w:val="714"/>
    <w:uiPriority w:val="39"/>
    <w:unhideWhenUsed/>
    <w:pPr>
      <w:ind w:left="2268"/>
      <w:spacing w:after="57"/>
    </w:pPr>
  </w:style>
  <w:style w:type="paragraph" w:styleId="892">
    <w:name w:val="TOC Heading"/>
    <w:uiPriority w:val="39"/>
    <w:unhideWhenUsed/>
  </w:style>
  <w:style w:type="paragraph" w:styleId="893">
    <w:name w:val="table of figures"/>
    <w:basedOn w:val="714"/>
    <w:next w:val="714"/>
    <w:uiPriority w:val="99"/>
    <w:unhideWhenUsed/>
    <w:pPr>
      <w:spacing w:after="0"/>
    </w:pPr>
  </w:style>
  <w:style w:type="paragraph" w:styleId="894">
    <w:name w:val="Balloon Text"/>
    <w:basedOn w:val="714"/>
    <w:link w:val="89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95" w:customStyle="1">
    <w:name w:val="Текст выноски Знак"/>
    <w:basedOn w:val="715"/>
    <w:link w:val="894"/>
    <w:uiPriority w:val="99"/>
    <w:semiHidden/>
    <w:rPr>
      <w:rFonts w:ascii="Segoe UI" w:hAnsi="Segoe UI" w:cs="Segoe UI"/>
      <w:sz w:val="18"/>
      <w:szCs w:val="18"/>
    </w:rPr>
  </w:style>
  <w:style w:type="paragraph" w:styleId="896" w:customStyle="1">
    <w:name w:val="Header"/>
    <w:basedOn w:val="714"/>
    <w:link w:val="89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7" w:customStyle="1">
    <w:name w:val="Верхний колонтитул Знак"/>
    <w:basedOn w:val="715"/>
    <w:link w:val="896"/>
    <w:uiPriority w:val="99"/>
  </w:style>
  <w:style w:type="paragraph" w:styleId="898" w:customStyle="1">
    <w:name w:val="Footer"/>
    <w:basedOn w:val="714"/>
    <w:link w:val="89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9" w:customStyle="1">
    <w:name w:val="Нижний колонтитул Знак"/>
    <w:basedOn w:val="715"/>
    <w:link w:val="898"/>
    <w:uiPriority w:val="99"/>
  </w:style>
  <w:style w:type="paragraph" w:styleId="900" w:customStyle="1">
    <w:name w:val="ConsPlusNormal"/>
    <w:pPr>
      <w:spacing w:after="0" w:line="240" w:lineRule="auto"/>
      <w:widowControl w:val="off"/>
    </w:pPr>
    <w:rPr>
      <w:rFonts w:ascii="Calibri" w:hAnsi="Calibri" w:cs="Calibri" w:eastAsiaTheme="minorEastAsia"/>
      <w:lang w:eastAsia="ru-RU"/>
    </w:rPr>
  </w:style>
  <w:style w:type="table" w:styleId="901" w:customStyle="1">
    <w:name w:val="Сетка таблицы1"/>
    <w:next w:val="759"/>
    <w:uiPriority w:val="59"/>
    <w:pPr>
      <w:spacing w:after="0" w:line="240" w:lineRule="auto"/>
      <w:shd w:val="nil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rPr>
      <w:cantSplit/>
    </w:trPr>
    <w:tcPr>
      <w:tcW w:w="0" w:type="auto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Власова Евгения Валентиновна</dc:creator>
  <cp:keywords/>
  <dc:description/>
  <cp:lastModifiedBy>MaksimovaVE</cp:lastModifiedBy>
  <cp:revision>49</cp:revision>
  <dcterms:created xsi:type="dcterms:W3CDTF">2024-09-17T05:29:00Z</dcterms:created>
  <dcterms:modified xsi:type="dcterms:W3CDTF">2026-07-06T06:13:59Z</dcterms:modified>
</cp:coreProperties>
</file>