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05"/>
        <w:jc w:val="left"/>
        <w:tabs>
          <w:tab w:val="left" w:pos="8070" w:leader="none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                                                     </w:t>
      </w:r>
      <w:r>
        <w:rPr>
          <w:rFonts w:ascii="Times New Roman" w:hAnsi="Times New Roman"/>
          <w:szCs w:val="24"/>
        </w:rPr>
        <w:t xml:space="preserve">ПРОЕКТ</w:t>
      </w:r>
      <w:r>
        <w:rPr>
          <w:rFonts w:ascii="Times New Roman" w:hAnsi="Times New Roman"/>
          <w:szCs w:val="24"/>
        </w:rPr>
      </w:r>
      <w:r>
        <w:rPr>
          <w:rFonts w:ascii="Times New Roman" w:hAnsi="Times New Roman"/>
          <w:szCs w:val="24"/>
        </w:rPr>
      </w:r>
    </w:p>
    <w:p>
      <w:pPr>
        <w:pStyle w:val="905"/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pStyle w:val="905"/>
        <w:rPr>
          <w:b/>
          <w:szCs w:val="24"/>
        </w:rPr>
      </w:pPr>
      <w:r>
        <w:rPr>
          <w:b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40995" cy="464185"/>
                <wp:effectExtent l="19050" t="0" r="1905" b="0"/>
                <wp:docPr id="1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340995" cy="4641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6.85pt;height:36.55pt;mso-wrap-distance-left:0.00pt;mso-wrap-distance-top:0.00pt;mso-wrap-distance-right:0.00pt;mso-wrap-distance-bottom:0.00pt;" stroked="f" strokeweight="0.75pt">
                <v:path textboxrect="0,0,0,0"/>
                <v:imagedata r:id="rId10" o:title=""/>
              </v:shape>
            </w:pict>
          </mc:Fallback>
        </mc:AlternateContent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905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ХАНТЫ – МАНСИЙСКИЙ АВТОНОМНЫЙ ОКРУГ - ЮГРА</w:t>
      </w:r>
      <w:r>
        <w:rPr>
          <w:rFonts w:ascii="Times New Roman" w:hAnsi="Times New Roman"/>
          <w:b/>
          <w:szCs w:val="24"/>
        </w:rPr>
      </w:r>
      <w:r>
        <w:rPr>
          <w:rFonts w:ascii="Times New Roman" w:hAnsi="Times New Roman"/>
          <w:b/>
          <w:szCs w:val="24"/>
        </w:rPr>
      </w:r>
    </w:p>
    <w:p>
      <w:pPr>
        <w:pStyle w:val="905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ТЮМЕНСКАЯ ОБЛАСТЬ</w:t>
      </w:r>
      <w:r>
        <w:rPr>
          <w:rFonts w:ascii="Times New Roman" w:hAnsi="Times New Roman"/>
          <w:b/>
          <w:szCs w:val="24"/>
        </w:rPr>
      </w:r>
      <w:r>
        <w:rPr>
          <w:rFonts w:ascii="Times New Roman" w:hAnsi="Times New Roman"/>
          <w:b/>
          <w:szCs w:val="24"/>
        </w:rPr>
      </w:r>
    </w:p>
    <w:p>
      <w:pPr>
        <w:pStyle w:val="905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ПРЕДСТАВИТЕЛЬНЫЙ ОРГАН МУНИЦИПАЛЬНОГО ОБРАЗОВАНИЯ</w:t>
      </w:r>
      <w:r>
        <w:rPr>
          <w:rFonts w:ascii="Times New Roman" w:hAnsi="Times New Roman"/>
          <w:b/>
          <w:szCs w:val="24"/>
        </w:rPr>
      </w:r>
      <w:r>
        <w:rPr>
          <w:rFonts w:ascii="Times New Roman" w:hAnsi="Times New Roman"/>
          <w:b/>
          <w:szCs w:val="24"/>
        </w:rPr>
      </w:r>
    </w:p>
    <w:p>
      <w:pPr>
        <w:pStyle w:val="90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ДУМА </w:t>
      </w:r>
      <w:r>
        <w:rPr>
          <w:color w:val="auto"/>
          <w:sz w:val="28"/>
          <w:szCs w:val="28"/>
        </w:rPr>
        <w:t xml:space="preserve">ГОРОДА </w:t>
      </w:r>
      <w:r>
        <w:rPr>
          <w:color w:val="auto"/>
          <w:sz w:val="28"/>
          <w:szCs w:val="28"/>
        </w:rPr>
        <w:t xml:space="preserve">МЕГИОНА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907"/>
        <w:rPr>
          <w:color w:val="auto"/>
          <w:sz w:val="16"/>
          <w:szCs w:val="16"/>
        </w:rPr>
      </w:pPr>
      <w:r>
        <w:rPr>
          <w:color w:val="auto"/>
          <w:sz w:val="16"/>
          <w:szCs w:val="16"/>
        </w:rPr>
      </w:r>
      <w:r>
        <w:rPr>
          <w:color w:val="auto"/>
          <w:sz w:val="16"/>
          <w:szCs w:val="16"/>
        </w:rPr>
      </w:r>
      <w:r>
        <w:rPr>
          <w:color w:val="auto"/>
          <w:sz w:val="16"/>
          <w:szCs w:val="16"/>
        </w:rPr>
      </w:r>
    </w:p>
    <w:p>
      <w:pPr>
        <w:jc w:val="center"/>
        <w:keepNext/>
        <w:rPr>
          <w:b/>
          <w:sz w:val="28"/>
          <w:szCs w:val="28"/>
        </w:rPr>
        <w:outlineLvl w:val="1"/>
      </w:pPr>
      <w:r>
        <w:rPr>
          <w:b/>
          <w:sz w:val="28"/>
          <w:szCs w:val="28"/>
        </w:rPr>
        <w:t xml:space="preserve">РЕШЕНИЕ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keepNext/>
        <w:outlineLvl w:val="1"/>
      </w:pPr>
      <w:r/>
      <w:r/>
    </w:p>
    <w:p>
      <w:pPr>
        <w:rPr>
          <w:b/>
        </w:rPr>
      </w:pPr>
      <w:r>
        <w:rPr>
          <w:b/>
        </w:rPr>
        <w:t xml:space="preserve"> </w:t>
      </w:r>
      <w:r>
        <w:rPr>
          <w:b/>
        </w:rPr>
      </w:r>
      <w:r>
        <w:rPr>
          <w:b/>
        </w:rPr>
      </w:r>
    </w:p>
    <w:p>
      <w:pPr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«____</w:t>
      </w:r>
      <w:r>
        <w:rPr>
          <w:sz w:val="24"/>
          <w:szCs w:val="24"/>
          <w:highlight w:val="white"/>
        </w:rPr>
        <w:t xml:space="preserve">_»_</w:t>
      </w:r>
      <w:r>
        <w:rPr>
          <w:sz w:val="24"/>
          <w:szCs w:val="24"/>
          <w:highlight w:val="white"/>
        </w:rPr>
        <w:t xml:space="preserve">____________20___</w:t>
      </w:r>
      <w:r>
        <w:rPr>
          <w:sz w:val="24"/>
          <w:szCs w:val="24"/>
          <w:highlight w:val="white"/>
        </w:rPr>
        <w:t xml:space="preserve">года</w:t>
      </w:r>
      <w:r>
        <w:rPr>
          <w:sz w:val="24"/>
          <w:szCs w:val="24"/>
          <w:highlight w:val="white"/>
        </w:rPr>
        <w:t xml:space="preserve">                                                                                  №_______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3685"/>
      </w:tblGrid>
      <w:tr>
        <w:tblPrEx/>
        <w:trPr>
          <w:trHeight w:val="107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85" w:type="dxa"/>
            <w:textDirection w:val="lrTb"/>
            <w:noWrap w:val="false"/>
          </w:tcPr>
          <w:p>
            <w:pPr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eastAsia="Calibri"/>
                <w:sz w:val="24"/>
                <w:szCs w:val="24"/>
                <w:highlight w:val="white"/>
              </w:rPr>
            </w:pPr>
            <w:r>
              <w:rPr>
                <w:rFonts w:eastAsia="Calibri"/>
                <w:sz w:val="24"/>
                <w:szCs w:val="24"/>
                <w:highlight w:val="white"/>
                <w:lang w:eastAsia="en-US"/>
              </w:rPr>
              <w:t xml:space="preserve">О Порядке </w:t>
            </w:r>
            <w:r>
              <w:rPr>
                <w:rFonts w:eastAsia="Calibri"/>
                <w:sz w:val="24"/>
                <w:szCs w:val="24"/>
                <w:highlight w:val="white"/>
                <w:lang w:eastAsia="en-US"/>
              </w:rPr>
              <w:t xml:space="preserve">отчуждения (продажи) муниципальных жилых помещений, признанных непригодными для проживания граждан на территории муниципального образования город Мегион</w:t>
            </w:r>
            <w:r>
              <w:rPr>
                <w:rFonts w:eastAsia="Calibri"/>
                <w:sz w:val="24"/>
                <w:szCs w:val="24"/>
                <w:highlight w:val="white"/>
              </w:rPr>
            </w:r>
            <w:r>
              <w:rPr>
                <w:rFonts w:eastAsia="Calibri"/>
                <w:sz w:val="24"/>
                <w:szCs w:val="24"/>
                <w:highlight w:val="white"/>
              </w:rPr>
            </w:r>
          </w:p>
        </w:tc>
      </w:tr>
    </w:tbl>
    <w:p>
      <w:pPr>
        <w:jc w:val="both"/>
        <w:tabs>
          <w:tab w:val="left" w:pos="567" w:leader="none"/>
        </w:tabs>
        <w:rPr>
          <w:rFonts w:eastAsia="Calibri"/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         </w:t>
      </w:r>
      <w:r>
        <w:rPr>
          <w:rFonts w:eastAsia="Calibri"/>
          <w:sz w:val="24"/>
          <w:szCs w:val="24"/>
          <w:highlight w:val="white"/>
        </w:rPr>
      </w:r>
      <w:r>
        <w:rPr>
          <w:rFonts w:eastAsia="Calibri"/>
          <w:sz w:val="24"/>
          <w:szCs w:val="24"/>
          <w:highlight w:val="white"/>
        </w:rPr>
      </w:r>
    </w:p>
    <w:p>
      <w:pPr>
        <w:jc w:val="both"/>
        <w:rPr>
          <w:sz w:val="24"/>
          <w:szCs w:val="24"/>
          <w:highlight w:val="white"/>
        </w:rPr>
      </w:pPr>
      <w:r>
        <w:rPr>
          <w:rFonts w:eastAsia="Calibri"/>
          <w:sz w:val="24"/>
          <w:szCs w:val="24"/>
          <w:highlight w:val="white"/>
          <w:lang w:eastAsia="en-US"/>
        </w:rPr>
        <w:tab/>
        <w:t xml:space="preserve">Рассмотрев проект решения Думы города Мегиона «О </w:t>
      </w:r>
      <w:r>
        <w:rPr>
          <w:rFonts w:eastAsia="Calibri"/>
          <w:sz w:val="24"/>
          <w:szCs w:val="24"/>
          <w:highlight w:val="white"/>
          <w:lang w:eastAsia="en-US"/>
        </w:rPr>
        <w:t xml:space="preserve">Порядке </w:t>
      </w:r>
      <w:r>
        <w:rPr>
          <w:rFonts w:eastAsia="Calibri"/>
          <w:sz w:val="24"/>
          <w:szCs w:val="24"/>
          <w:highlight w:val="white"/>
          <w:lang w:eastAsia="en-US"/>
        </w:rPr>
        <w:t xml:space="preserve">отчуждения (продажи) муниципальных жилых помещений, признанных непригодными для проживания граждан на территории муниципального образования город Мегион</w:t>
      </w:r>
      <w:r/>
      <w:r>
        <w:rPr>
          <w:rFonts w:eastAsia="Calibri"/>
          <w:sz w:val="24"/>
          <w:szCs w:val="24"/>
          <w:highlight w:val="white"/>
          <w:lang w:eastAsia="en-US"/>
        </w:rPr>
      </w:r>
      <w:r>
        <w:rPr>
          <w:rFonts w:eastAsia="Calibri"/>
          <w:sz w:val="24"/>
          <w:szCs w:val="24"/>
          <w:highlight w:val="white"/>
          <w:lang w:eastAsia="en-US"/>
        </w:rPr>
      </w:r>
      <w:r>
        <w:rPr>
          <w:rFonts w:eastAsia="Calibri"/>
          <w:sz w:val="24"/>
          <w:szCs w:val="24"/>
          <w:highlight w:val="white"/>
          <w:lang w:eastAsia="en-US"/>
        </w:rPr>
        <w:t xml:space="preserve">»,</w:t>
      </w:r>
      <w:r>
        <w:rPr>
          <w:rFonts w:eastAsia="Calibri"/>
          <w:sz w:val="24"/>
          <w:szCs w:val="24"/>
          <w:highlight w:val="white"/>
          <w:lang w:eastAsia="en-US"/>
        </w:rPr>
        <w:t xml:space="preserve"> </w:t>
      </w:r>
      <w:r>
        <w:rPr>
          <w:rFonts w:eastAsia="Calibri"/>
          <w:sz w:val="24"/>
          <w:szCs w:val="24"/>
          <w:highlight w:val="white"/>
          <w:lang w:eastAsia="en-US"/>
        </w:rPr>
        <w:t xml:space="preserve">в соответствии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со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статьями 63, 64 Федерального закона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от 20.03.2025 №33-ФЗ «Об общих принципах организации местного самоуправления в единой системе публичной власти»,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ешением Думы города Мегиона от 25.03.2011 № 133 «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О Порядке управления и распоряжения имуществом, находящимся в муниципальной собственности города Мегиона»</w:t>
      </w:r>
      <w:r>
        <w:rPr>
          <w:sz w:val="24"/>
          <w:szCs w:val="24"/>
          <w:highlight w:val="white"/>
        </w:rPr>
        <w:t xml:space="preserve">,</w:t>
      </w:r>
      <w:r>
        <w:rPr>
          <w:sz w:val="24"/>
          <w:szCs w:val="24"/>
          <w:highlight w:val="white"/>
        </w:rPr>
        <w:t xml:space="preserve"> </w:t>
      </w:r>
      <w:r>
        <w:rPr>
          <w:rFonts w:eastAsia="Calibri"/>
          <w:sz w:val="24"/>
          <w:szCs w:val="24"/>
          <w:highlight w:val="white"/>
          <w:lang w:eastAsia="en-US"/>
        </w:rPr>
        <w:t xml:space="preserve">руководствуясь </w:t>
      </w:r>
      <w:hyperlink r:id="rId11" w:tooltip="consultantplus://offline/ref=9EFBF6E89202F534A2B8F403A4D2A0018F4C99AC30EDC14CDB07CDD30B93B323925454B9D7B7D3C53F346510DBq3E" w:history="1">
        <w:r>
          <w:rPr>
            <w:rFonts w:eastAsia="Calibri"/>
            <w:sz w:val="24"/>
            <w:szCs w:val="24"/>
            <w:highlight w:val="white"/>
            <w:lang w:eastAsia="en-US"/>
          </w:rPr>
          <w:t xml:space="preserve">статьями 19</w:t>
        </w:r>
      </w:hyperlink>
      <w:r>
        <w:rPr>
          <w:rFonts w:eastAsia="Calibri"/>
          <w:sz w:val="24"/>
          <w:szCs w:val="24"/>
          <w:highlight w:val="white"/>
          <w:lang w:eastAsia="en-US"/>
        </w:rPr>
        <w:t xml:space="preserve">, </w:t>
      </w:r>
      <w:hyperlink r:id="rId12" w:tooltip="consultantplus://offline/ref=9EFBF6E89202F534A2B8F403A4D2A0018F4C99AC30EDC14CDB07CDD30B93B323925454B9D7B7D3C53F346216DBq8E" w:history="1">
        <w:r>
          <w:rPr>
            <w:rFonts w:eastAsia="Calibri"/>
            <w:sz w:val="24"/>
            <w:szCs w:val="24"/>
            <w:highlight w:val="white"/>
            <w:lang w:eastAsia="en-US"/>
          </w:rPr>
          <w:t xml:space="preserve">48</w:t>
        </w:r>
      </w:hyperlink>
      <w:r>
        <w:rPr>
          <w:rFonts w:eastAsia="Calibri"/>
          <w:sz w:val="24"/>
          <w:szCs w:val="24"/>
          <w:highlight w:val="white"/>
          <w:lang w:eastAsia="en-US"/>
        </w:rPr>
        <w:t xml:space="preserve"> </w:t>
      </w:r>
      <w:r>
        <w:rPr>
          <w:rFonts w:eastAsia="Calibri"/>
          <w:sz w:val="24"/>
          <w:szCs w:val="24"/>
          <w:highlight w:val="white"/>
          <w:lang w:eastAsia="en-US"/>
        </w:rPr>
        <w:t xml:space="preserve">у</w:t>
      </w:r>
      <w:r>
        <w:rPr>
          <w:rFonts w:eastAsia="Calibri"/>
          <w:sz w:val="24"/>
          <w:szCs w:val="24"/>
          <w:highlight w:val="white"/>
          <w:lang w:eastAsia="en-US"/>
        </w:rPr>
        <w:t xml:space="preserve">става горо</w:t>
      </w:r>
      <w:r>
        <w:rPr>
          <w:rFonts w:eastAsia="Calibri"/>
          <w:sz w:val="24"/>
          <w:szCs w:val="24"/>
          <w:highlight w:val="white"/>
          <w:lang w:eastAsia="en-US"/>
        </w:rPr>
        <w:t xml:space="preserve">да Мегиона, </w:t>
      </w:r>
      <w:r>
        <w:rPr>
          <w:rFonts w:eastAsia="Calibri"/>
          <w:sz w:val="24"/>
          <w:szCs w:val="24"/>
          <w:highlight w:val="white"/>
          <w:lang w:eastAsia="en-US"/>
        </w:rPr>
        <w:t xml:space="preserve">Дума города Мегиона: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jc w:val="center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jc w:val="center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РЕШИЛА: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jc w:val="center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ind w:left="0" w:right="0" w:firstLine="709"/>
        <w:jc w:val="both"/>
        <w:rPr>
          <w:rFonts w:eastAsia="Calibri"/>
          <w:sz w:val="24"/>
          <w:szCs w:val="24"/>
          <w:highlight w:val="white"/>
        </w:rPr>
      </w:pPr>
      <w:r>
        <w:rPr>
          <w:rFonts w:eastAsia="Calibri"/>
          <w:sz w:val="24"/>
          <w:szCs w:val="24"/>
          <w:highlight w:val="white"/>
          <w:lang w:eastAsia="en-US"/>
        </w:rPr>
        <w:t xml:space="preserve">1.Утвердить Порядок </w:t>
      </w:r>
      <w:r>
        <w:rPr>
          <w:rFonts w:eastAsia="Calibri"/>
          <w:sz w:val="24"/>
          <w:szCs w:val="24"/>
          <w:highlight w:val="white"/>
          <w:lang w:eastAsia="en-US"/>
        </w:rPr>
      </w:r>
      <w:r>
        <w:rPr>
          <w:rFonts w:eastAsia="Calibri"/>
          <w:sz w:val="24"/>
          <w:szCs w:val="24"/>
          <w:highlight w:val="white"/>
          <w:lang w:eastAsia="en-US"/>
        </w:rPr>
        <w:t xml:space="preserve">отчуждения (продажи) муниципальных жилых помещений, признанных непригодными для проживания граждан на территории муниципального образования город Мегион</w:t>
      </w:r>
      <w:r/>
      <w:r>
        <w:rPr>
          <w:rFonts w:eastAsia="Calibri"/>
          <w:sz w:val="24"/>
          <w:szCs w:val="24"/>
          <w:highlight w:val="white"/>
          <w:lang w:eastAsia="en-US"/>
        </w:rPr>
      </w:r>
      <w:r>
        <w:rPr>
          <w:rFonts w:eastAsia="Calibri"/>
          <w:sz w:val="24"/>
          <w:szCs w:val="24"/>
          <w:highlight w:val="white"/>
          <w:lang w:eastAsia="en-US"/>
        </w:rPr>
        <w:t xml:space="preserve">, согласно приложению.</w:t>
      </w:r>
      <w:r>
        <w:rPr>
          <w:rFonts w:eastAsia="Calibri"/>
          <w:sz w:val="24"/>
          <w:szCs w:val="24"/>
          <w:highlight w:val="white"/>
        </w:rPr>
      </w:r>
      <w:r>
        <w:rPr>
          <w:rFonts w:eastAsia="Calibri"/>
          <w:sz w:val="24"/>
          <w:szCs w:val="24"/>
          <w:highlight w:val="white"/>
        </w:rPr>
      </w:r>
    </w:p>
    <w:p>
      <w:pPr>
        <w:ind w:left="0" w:right="0" w:firstLine="709"/>
        <w:jc w:val="both"/>
        <w:rPr>
          <w:rFonts w:eastAsia="Calibri"/>
          <w:sz w:val="24"/>
          <w:szCs w:val="24"/>
          <w:highlight w:val="white"/>
        </w:rPr>
      </w:pPr>
      <w:r>
        <w:rPr>
          <w:rFonts w:eastAsia="Calibri"/>
          <w:sz w:val="24"/>
          <w:szCs w:val="24"/>
          <w:highlight w:val="white"/>
          <w:lang w:eastAsia="en-US"/>
        </w:rPr>
      </w:r>
      <w:r>
        <w:rPr>
          <w:sz w:val="24"/>
          <w:szCs w:val="24"/>
          <w:highlight w:val="white"/>
        </w:rPr>
        <w:t xml:space="preserve">2.Настоящее решение вступает в силу после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его официально</w:t>
      </w:r>
      <w:r>
        <w:rPr>
          <w:sz w:val="24"/>
          <w:szCs w:val="24"/>
          <w:highlight w:val="white"/>
        </w:rPr>
        <w:t xml:space="preserve">го</w:t>
      </w:r>
      <w:r>
        <w:rPr>
          <w:sz w:val="24"/>
          <w:szCs w:val="24"/>
          <w:highlight w:val="white"/>
        </w:rPr>
        <w:t xml:space="preserve"> опубликовани</w:t>
      </w:r>
      <w:r>
        <w:rPr>
          <w:sz w:val="24"/>
          <w:szCs w:val="24"/>
          <w:highlight w:val="white"/>
        </w:rPr>
        <w:t xml:space="preserve">я</w:t>
      </w:r>
      <w:r>
        <w:rPr>
          <w:sz w:val="24"/>
          <w:szCs w:val="24"/>
          <w:highlight w:val="white"/>
        </w:rPr>
        <w:t xml:space="preserve">.</w:t>
      </w:r>
      <w:r>
        <w:rPr>
          <w:rFonts w:eastAsia="Calibri"/>
          <w:sz w:val="24"/>
          <w:szCs w:val="24"/>
          <w:highlight w:val="white"/>
        </w:rPr>
      </w:r>
      <w:r>
        <w:rPr>
          <w:rFonts w:eastAsia="Calibri"/>
          <w:sz w:val="24"/>
          <w:szCs w:val="24"/>
          <w:highlight w:val="white"/>
        </w:rPr>
      </w:r>
    </w:p>
    <w:p>
      <w:pPr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jc w:val="both"/>
      </w:pPr>
      <w:r>
        <w:rPr>
          <w:highlight w:val="none"/>
        </w:rPr>
      </w:r>
      <w:r>
        <w:rPr>
          <w:highlight w:val="none"/>
        </w:rPr>
      </w:r>
      <w:r/>
    </w:p>
    <w:p>
      <w:pPr>
        <w:jc w:val="both"/>
      </w:pPr>
      <w:r/>
      <w:r/>
    </w:p>
    <w:tbl>
      <w:tblPr>
        <w:tblW w:w="9555" w:type="dxa"/>
        <w:tblInd w:w="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4545"/>
        <w:gridCol w:w="5010"/>
      </w:tblGrid>
      <w:tr>
        <w:tblPrEx/>
        <w:trPr>
          <w:trHeight w:val="1590"/>
        </w:trPr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4545" w:type="dxa"/>
            <w:textDirection w:val="lrTb"/>
            <w:noWrap w:val="false"/>
          </w:tcPr>
          <w:p>
            <w:pPr>
              <w:jc w:val="both"/>
            </w:pPr>
            <w:r>
              <w:t xml:space="preserve">Пр</w:t>
            </w:r>
            <w:r>
              <w:t xml:space="preserve">едседатель Думы </w:t>
            </w:r>
            <w:r>
              <w:t xml:space="preserve">города Мегиона</w:t>
            </w:r>
            <w:r>
              <w:tab/>
            </w:r>
            <w:r>
              <w:tab/>
            </w:r>
            <w:r>
              <w:tab/>
            </w:r>
            <w:r>
              <w:tab/>
              <w:t xml:space="preserve">                        </w:t>
            </w:r>
            <w:r/>
          </w:p>
          <w:p>
            <w:pPr>
              <w:jc w:val="both"/>
              <w:rPr>
                <w:highlight w:val="none"/>
              </w:rPr>
            </w:pPr>
            <w:r>
              <w:t xml:space="preserve">_______________ В.С.Заднепровская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 xml:space="preserve">         </w:t>
            </w:r>
            <w:r>
              <w:tab/>
            </w:r>
            <w:r>
              <w:tab/>
            </w:r>
            <w:r>
              <w:tab/>
            </w:r>
            <w:r>
              <w:t xml:space="preserve">         г.Мегион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both"/>
            </w:pPr>
            <w:r>
              <w:t xml:space="preserve">«____</w:t>
            </w:r>
            <w:r>
              <w:t xml:space="preserve">_»_</w:t>
            </w:r>
            <w:r>
              <w:t xml:space="preserve">__________________20</w:t>
            </w:r>
            <w:r>
              <w:t xml:space="preserve">2</w:t>
            </w:r>
            <w:r>
              <w:t xml:space="preserve">6</w:t>
            </w:r>
            <w:r/>
          </w:p>
          <w:p>
            <w:pPr>
              <w:jc w:val="both"/>
              <w:rPr>
                <w:highlight w:val="none"/>
              </w:rPr>
            </w:pPr>
            <w:r>
              <w:t xml:space="preserve">   </w:t>
            </w:r>
            <w:r>
              <w:t xml:space="preserve">       </w:t>
            </w:r>
            <w:r>
              <w:tab/>
            </w:r>
            <w:r>
              <w:tab/>
            </w:r>
            <w:r>
              <w:tab/>
            </w:r>
            <w:r>
              <w:tab/>
              <w:t xml:space="preserve">                 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/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5010" w:type="dxa"/>
            <w:textDirection w:val="lrTb"/>
            <w:noWrap w:val="false"/>
          </w:tcPr>
          <w:p>
            <w:pPr>
              <w:jc w:val="both"/>
            </w:pPr>
            <w:r>
              <w:t xml:space="preserve">    </w:t>
            </w:r>
            <w:r>
              <w:t xml:space="preserve">        </w:t>
            </w:r>
            <w:r>
              <w:t xml:space="preserve">Глава города Мегиона</w:t>
            </w:r>
            <w:r/>
          </w:p>
          <w:p>
            <w:pPr>
              <w:jc w:val="both"/>
            </w:pPr>
            <w:r>
              <w:t xml:space="preserve">    </w:t>
            </w:r>
            <w:r>
              <w:t xml:space="preserve">             </w:t>
            </w:r>
            <w:r/>
          </w:p>
          <w:p>
            <w:pPr>
              <w:jc w:val="both"/>
            </w:pPr>
            <w:r>
              <w:t xml:space="preserve">     </w:t>
            </w:r>
            <w:r>
              <w:t xml:space="preserve">       _________________</w:t>
            </w:r>
            <w:r>
              <w:t xml:space="preserve">А.В.Петриченко</w:t>
            </w:r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>
              <w:t xml:space="preserve">    </w:t>
            </w:r>
            <w:r>
              <w:t xml:space="preserve">        </w:t>
            </w:r>
            <w:r>
              <w:t xml:space="preserve">г</w:t>
            </w:r>
            <w:r>
              <w:t xml:space="preserve">.Мегион</w:t>
            </w:r>
            <w:r/>
          </w:p>
          <w:p>
            <w:pPr>
              <w:jc w:val="both"/>
            </w:pPr>
            <w:r>
              <w:t xml:space="preserve">    </w:t>
            </w:r>
            <w:r>
              <w:t xml:space="preserve">        </w:t>
            </w:r>
            <w:r>
              <w:t xml:space="preserve">«_____»________________202</w:t>
            </w:r>
            <w:r>
              <w:t xml:space="preserve">6</w:t>
            </w:r>
            <w:r/>
          </w:p>
        </w:tc>
      </w:tr>
    </w:tbl>
    <w:p>
      <w:pPr>
        <w:pStyle w:val="746"/>
        <w:contextualSpacing/>
        <w:ind w:left="5664" w:firstLine="0"/>
        <w:jc w:val="left"/>
        <w:suppressLineNumbers w:val="0"/>
      </w:pPr>
      <w: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pStyle w:val="746"/>
        <w:contextualSpacing/>
        <w:ind w:left="5664" w:firstLine="0"/>
        <w:jc w:val="left"/>
        <w:rPr>
          <w:rFonts w:ascii="Times New Roman" w:hAnsi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746"/>
        <w:contextualSpacing/>
        <w:ind w:left="5664" w:firstLine="0"/>
        <w:jc w:val="left"/>
        <w:rPr>
          <w:rFonts w:ascii="Times New Roman" w:hAnsi="Times New Roman" w:eastAsia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746"/>
        <w:contextualSpacing/>
        <w:ind w:left="0" w:firstLine="0"/>
        <w:jc w:val="left"/>
        <w:rPr>
          <w:rFonts w:ascii="Times New Roman" w:hAnsi="Times New Roman" w:eastAsia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746"/>
        <w:contextualSpacing/>
        <w:ind w:left="5811" w:right="0" w:firstLine="0"/>
        <w:jc w:val="left"/>
        <w:spacing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  <w:suppressLineNumbers w:val="0"/>
      </w:pPr>
      <w:r>
        <w:rPr>
          <w:highlight w:val="white"/>
        </w:rPr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  <w:t xml:space="preserve">Приложение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pStyle w:val="746"/>
        <w:ind w:left="5811" w:right="0" w:firstLine="0"/>
        <w:jc w:val="left"/>
        <w:spacing w:line="240" w:lineRule="auto"/>
        <w:rPr>
          <w:rFonts w:ascii="Times New Roman" w:hAnsi="Times New Roman" w:cs="Times New Roman"/>
          <w:bCs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  <w:t xml:space="preserve">к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en-US"/>
        </w:rPr>
        <w:t xml:space="preserve">решению Думы города Мегиона</w:t>
      </w:r>
      <w:r>
        <w:rPr>
          <w:rFonts w:ascii="Times New Roman" w:hAnsi="Times New Roman" w:cs="Times New Roman"/>
          <w:bCs/>
          <w:sz w:val="24"/>
          <w:szCs w:val="24"/>
          <w:highlight w:val="white"/>
        </w:rPr>
      </w:r>
      <w:r>
        <w:rPr>
          <w:rFonts w:ascii="Times New Roman" w:hAnsi="Times New Roman" w:cs="Times New Roman"/>
          <w:bCs/>
          <w:sz w:val="24"/>
          <w:szCs w:val="24"/>
          <w:highlight w:val="white"/>
        </w:rPr>
      </w:r>
    </w:p>
    <w:p>
      <w:pPr>
        <w:pStyle w:val="746"/>
        <w:ind w:left="5811" w:right="0" w:firstLine="0"/>
        <w:jc w:val="left"/>
        <w:spacing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  <w:t xml:space="preserve">от «__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  <w:t xml:space="preserve">_»_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  <w:t xml:space="preserve">______2026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  <w:t xml:space="preserve"> №_____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746"/>
        <w:jc w:val="both"/>
        <w:spacing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  <w:lang w:val="ru-RU"/>
        </w:rPr>
        <w:t xml:space="preserve">ПОРЯДОК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left="0" w:right="0" w:firstLine="0"/>
        <w:jc w:val="center"/>
        <w:spacing w:before="0" w:after="0" w:line="240" w:lineRule="auto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</w:r>
      <w:r>
        <w:rPr>
          <w:rFonts w:eastAsia="Calibri"/>
          <w:highlight w:val="white"/>
          <w:lang w:eastAsia="en-US"/>
        </w:rPr>
        <w:t xml:space="preserve"> </w:t>
      </w:r>
      <w:r>
        <w:rPr>
          <w:rFonts w:eastAsia="Calibri"/>
          <w:highlight w:val="white"/>
          <w:lang w:eastAsia="en-US"/>
        </w:rPr>
        <w:t xml:space="preserve"> </w:t>
      </w:r>
      <w:r>
        <w:rPr>
          <w:highlight w:val="white"/>
        </w:rPr>
      </w:r>
      <w:r>
        <w:rPr>
          <w:rFonts w:eastAsia="Calibri"/>
          <w:sz w:val="24"/>
          <w:szCs w:val="24"/>
          <w:highlight w:val="white"/>
          <w:lang w:eastAsia="en-US"/>
        </w:rPr>
      </w:r>
      <w:r>
        <w:rPr>
          <w:rFonts w:eastAsia="Calibri"/>
          <w:sz w:val="24"/>
          <w:szCs w:val="24"/>
          <w:highlight w:val="white"/>
          <w:lang w:eastAsia="en-US"/>
        </w:rPr>
        <w:t xml:space="preserve">отчуждения (продажи) муниципальных жилых помещений, признанных непригодными для проживания граждан на территории муниципального образования город Мегион</w:t>
      </w:r>
      <w:r/>
      <w:r>
        <w:rPr>
          <w:highlight w:val="white"/>
        </w:rPr>
      </w:r>
      <w:r>
        <w:rPr>
          <w:highlight w:val="white"/>
        </w:rPr>
      </w:r>
    </w:p>
    <w:p>
      <w:pPr>
        <w:ind w:left="0" w:right="0" w:firstLine="540"/>
        <w:jc w:val="both"/>
        <w:spacing w:before="0" w:after="0" w:line="240" w:lineRule="auto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 </w:t>
      </w:r>
      <w:r>
        <w:rPr>
          <w:highlight w:val="white"/>
        </w:rPr>
      </w:r>
      <w:r>
        <w:rPr>
          <w:highlight w:val="white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 w:eastAsia="Times New Roman" w:cs="Times New Roman"/>
          <w:sz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1.Общие положения</w:t>
      </w:r>
      <w:r>
        <w:rPr>
          <w:rFonts w:ascii="Times New Roman" w:hAnsi="Times New Roman" w:eastAsia="Times New Roman" w:cs="Times New Roman"/>
          <w:sz w:val="24"/>
          <w:highlight w:val="white"/>
        </w:rPr>
      </w:r>
      <w:r>
        <w:rPr>
          <w:rFonts w:ascii="Times New Roman" w:hAnsi="Times New Roman" w:eastAsia="Times New Roman" w:cs="Times New Roman"/>
          <w:sz w:val="24"/>
          <w:highlight w:val="white"/>
        </w:rPr>
      </w:r>
    </w:p>
    <w:p>
      <w:pPr>
        <w:ind w:left="0" w:right="0" w:firstLine="540"/>
        <w:jc w:val="center"/>
        <w:spacing w:before="0" w:after="0" w:line="240" w:lineRule="auto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ind w:left="0" w:right="0" w:firstLine="708"/>
        <w:jc w:val="both"/>
        <w:spacing w:before="0"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1.Настоящий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орядок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</w:r>
      <w:r>
        <w:rPr>
          <w:rFonts w:eastAsia="Calibri"/>
          <w:sz w:val="24"/>
          <w:szCs w:val="24"/>
          <w:highlight w:val="white"/>
          <w:lang w:eastAsia="en-US"/>
        </w:rPr>
      </w:r>
      <w:r>
        <w:rPr>
          <w:rFonts w:eastAsia="Calibri"/>
          <w:sz w:val="24"/>
          <w:szCs w:val="24"/>
          <w:highlight w:val="white"/>
          <w:lang w:eastAsia="en-US"/>
        </w:rPr>
        <w:t xml:space="preserve">отчуждения (продажи) муниципальных жилых помещений, признанных непригодными для проживания граждан на территории муниципального образования город Мегион</w:t>
      </w:r>
      <w:r/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 (далее – Порядок)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 устанавливает порядок и условия отчуждения жилых помещений муниципального жилищного фонда, признанных в установленном порядке непригодными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 для проживания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(за исключением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жилых помещений, расположенных в многоквартирных домах, признанных в установленном порядке аварийными, подлежащих сносу или реконструкции)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в том числе, порядок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определения экономической целесообразности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их отчуждения,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порядок организации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торгов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left="0" w:right="0" w:firstLine="708"/>
        <w:jc w:val="both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2.Действие настоящего Порядка распространяется на жилые помещения, находящиеся в собственности муниципального образования город Мегион,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признанные непригодными для проживания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(за исключением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жилых помещений, расположенных в многоквартирных домах, признанных в установленном порядке аварийными, подлежащих сносу или реконструкции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)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в соответствии с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Положением о признании помещения жилым помещением, жилого помещения непригодным для проживания, многоквартирного дома аварий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ным и подлежащим сносу или реконструкции, садового дома жилым домом и жилого дома садовым домом, утвержденным постановлением Правительства Российской Федерации от 28.01.2006 №47 (далее – Положение №47)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contextualSpacing/>
        <w:ind w:left="0" w:right="0" w:firstLine="708"/>
        <w:jc w:val="both"/>
        <w:spacing w:before="168" w:after="0" w:line="240" w:lineRule="auto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Отчуждению подлежат незаселенные жилые помещения, указанные в абзаце первом настоящего пункта, свободные от прав третьих лиц,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расположенные на территории, в отношении которой не принято решение о комплексном развитии территории, и отчуждение которых признано экономически целесообразным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 в порядке, установленном разделом 2 настоящего Порядка.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left="0" w:right="0" w:firstLine="540"/>
        <w:jc w:val="center"/>
        <w:spacing w:before="0" w:after="0" w:line="240" w:lineRule="auto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 </w:t>
      </w:r>
      <w:r>
        <w:rPr>
          <w:highlight w:val="white"/>
        </w:rPr>
      </w:r>
      <w:r>
        <w:rPr>
          <w:highlight w:val="white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 w:eastAsia="Times New Roman" w:cs="Times New Roman"/>
          <w:sz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2.Определение экономической целесообразности отчуждения</w:t>
      </w:r>
      <w:r>
        <w:rPr>
          <w:rFonts w:ascii="Times New Roman" w:hAnsi="Times New Roman" w:eastAsia="Times New Roman" w:cs="Times New Roman"/>
          <w:sz w:val="24"/>
          <w:highlight w:val="white"/>
        </w:rPr>
      </w:r>
      <w:r>
        <w:rPr>
          <w:rFonts w:ascii="Times New Roman" w:hAnsi="Times New Roman" w:eastAsia="Times New Roman" w:cs="Times New Roman"/>
          <w:sz w:val="24"/>
          <w:highlight w:val="white"/>
        </w:rPr>
      </w:r>
    </w:p>
    <w:p>
      <w:pPr>
        <w:contextualSpacing/>
        <w:ind w:left="0" w:right="0" w:firstLine="0"/>
        <w:jc w:val="center"/>
        <w:spacing w:before="0" w:after="0" w:line="240" w:lineRule="auto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1.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Отбор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 жилых помещений муниципального жилищного фонда, признанных в установленном порядке непригодными для проживания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 (далее - объекты), подле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жащих отчуждению путем проведения торгов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, осуществляется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упо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лномоченным органом администрации города Мегиона, определенным муниципальным правовым актом администрации города Мегиона (далее – Уполномоченный орган) по результатам проводимых мероприятий по определению экономической целесообразности отчуждения Объектов.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>
      <w:pPr>
        <w:ind w:left="0" w:right="0" w:firstLine="708"/>
        <w:jc w:val="both"/>
        <w:spacing w:before="0" w:beforeAutospacing="0"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2.Мероприятия по определению экономической целесообразности отчуждения Объекта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осуществляются Уполномоченным органом путем сравнения потребности финансовых ресурсов, необходимых на проведение его реконструкции или капитального ремонта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в целях приведения утраченных в процессе эксплуатации характеристик жилого помещения в соответствие с требованиями, установленными Положением №47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, исходя из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сметного расчета стоимости минимального перечня мероприятий по капитальному ремонту или реконструкции и оценки рыночной стоимости Объекта, с учетом выводов, содержащихся в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заключении специализированной организации по результатам обследования элементов ограждающих и несущих конструкций жилого помещения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(при наличии).</w:t>
      </w:r>
      <w:r/>
    </w:p>
    <w:p>
      <w:pPr>
        <w:ind w:left="0" w:right="0" w:firstLine="709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Рыночная стоимость объекта определяется в соответствии с Федеральным законом от 29.07.1998 №135-ФЗ «Об оценочной деятельности в Российской Федерации».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highlight w:val="white"/>
        </w:rPr>
        <w:t xml:space="preserve">Расчет потребности финансовых ресурсов на проведение реконструкции либо капитального ремонта объекта осуществляется исходя из сметной стоимости работ, связанных с проведением реконструкции либо капитального ремонта, определяемой на основании </w:t>
      </w:r>
      <w:r>
        <w:rPr>
          <w:rFonts w:ascii="Times New Roman" w:hAnsi="Times New Roman" w:eastAsia="Times New Roman" w:cs="Times New Roman"/>
          <w:color w:val="000000" w:themeColor="text1"/>
          <w:sz w:val="24"/>
          <w:highlight w:val="white"/>
        </w:rPr>
        <w:t xml:space="preserve">сметных н</w:t>
      </w:r>
      <w:r>
        <w:rPr>
          <w:rFonts w:ascii="Times New Roman" w:hAnsi="Times New Roman" w:eastAsia="Times New Roman" w:cs="Times New Roman"/>
          <w:color w:val="000000" w:themeColor="text1"/>
          <w:sz w:val="24"/>
          <w:highlight w:val="white"/>
        </w:rPr>
        <w:t xml:space="preserve">ормативов.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</w:p>
    <w:p>
      <w:pPr>
        <w:ind w:left="0" w:right="0" w:firstLine="709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Если доля финансовых затрат на проведение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капитального ремонта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или реконструкции Объекта составляет более 2/3 от его рыночной стоимости,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отчуждение Объекта признается экономически целесообразным, о чем Уполномоченным органом подготавливается соответствующее заключение.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0" w:right="0" w:firstLine="709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3.В случае признания отчуждения Объекта экономически целесообразным, администрацией города Мегиона на основании заключения Уполномоченного органа принимается решение о проведении торгов в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форме муниципального правового акта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администрации города Мегиона.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>
      <w:pPr>
        <w:contextualSpacing/>
        <w:ind w:left="0" w:right="0" w:firstLine="0"/>
        <w:jc w:val="both"/>
        <w:spacing w:before="0"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0" w:right="0" w:firstLine="0"/>
        <w:jc w:val="center"/>
        <w:spacing w:before="0"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3. Организация и проведение торгов</w:t>
      </w:r>
      <w:r/>
    </w:p>
    <w:p>
      <w:pPr>
        <w:contextualSpacing/>
        <w:ind w:left="0" w:right="0" w:firstLine="0"/>
        <w:jc w:val="both"/>
        <w:spacing w:before="0"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/>
    </w:p>
    <w:p>
      <w:pPr>
        <w:contextualSpacing/>
        <w:ind w:left="0" w:right="0" w:firstLine="708"/>
        <w:jc w:val="both"/>
        <w:spacing w:before="0" w:after="0" w:line="240" w:lineRule="auto"/>
        <w:rPr>
          <w:rFonts w:ascii="Times New Roman" w:hAnsi="Times New Roman" w:eastAsia="Times New Roman" w:cs="Times New Roman"/>
          <w:color w:val="auto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1.</w:t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  <w:t xml:space="preserve">Организатором торгов яв</w:t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  <w:t xml:space="preserve">ляется </w:t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  <w:t xml:space="preserve">администрация города Мегиона</w:t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</w:r>
    </w:p>
    <w:p>
      <w:pPr>
        <w:contextualSpacing/>
        <w:ind w:left="0" w:right="0" w:firstLine="708"/>
        <w:jc w:val="both"/>
        <w:spacing w:before="0" w:after="0" w:line="240" w:lineRule="auto"/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4"/>
        </w:rPr>
        <w:t xml:space="preserve">2.Торги проводятся в форме аукциона, открытого </w:t>
      </w:r>
      <w:r>
        <w:rPr>
          <w:rFonts w:ascii="Times New Roman" w:hAnsi="Times New Roman" w:eastAsia="Times New Roman" w:cs="Times New Roman"/>
          <w:color w:val="auto"/>
          <w:sz w:val="24"/>
          <w:highlight w:val="none"/>
        </w:rPr>
        <w:t xml:space="preserve">по составу участников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t xml:space="preserve">с открытой формой подачи предложений о цене имущества</w:t>
      </w:r>
      <w:r>
        <w:rPr>
          <w:rFonts w:ascii="Times New Roman" w:hAnsi="Times New Roman" w:eastAsia="Times New Roman" w:cs="Times New Roman"/>
          <w:color w:val="auto"/>
          <w:sz w:val="24"/>
        </w:rPr>
        <w:t xml:space="preserve">, в порядке, </w:t>
      </w:r>
      <w:r>
        <w:rPr>
          <w:rFonts w:ascii="Times New Roman" w:hAnsi="Times New Roman" w:eastAsia="Times New Roman" w:cs="Times New Roman"/>
          <w:color w:val="000000"/>
          <w:sz w:val="24"/>
          <w:highlight w:val="yellow"/>
        </w:rPr>
        <w:t xml:space="preserve">установленном для продажи государственного или муниципального имущества в электронной форме</w:t>
      </w:r>
      <w:r>
        <w:rPr>
          <w:rFonts w:ascii="Times New Roman" w:hAnsi="Times New Roman" w:eastAsia="Times New Roman" w:cs="Times New Roman"/>
          <w:color w:val="000000"/>
          <w:sz w:val="24"/>
          <w:highlight w:val="yellow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highlight w:val="yellow"/>
        </w:rPr>
        <w:t xml:space="preserve">Федеральным законом от 21.12.2001 № 178-ФЗ «</w:t>
      </w:r>
      <w:r>
        <w:rPr>
          <w:rFonts w:ascii="Times New Roman" w:hAnsi="Times New Roman" w:eastAsia="Times New Roman" w:cs="Times New Roman"/>
          <w:color w:val="000000"/>
          <w:sz w:val="24"/>
          <w:highlight w:val="yellow"/>
        </w:rPr>
        <w:t xml:space="preserve">О приватизации государственного и муниципального имущества», </w:t>
      </w:r>
      <w:r>
        <w:rPr>
          <w:rFonts w:ascii="Times New Roman" w:hAnsi="Times New Roman" w:eastAsia="Times New Roman" w:cs="Times New Roman"/>
          <w:color w:val="000000"/>
          <w:sz w:val="24"/>
          <w:highlight w:val="yellow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z w:val="24"/>
          <w:highlight w:val="yellow"/>
        </w:rPr>
        <w:t xml:space="preserve">остановлением Правительства Российской Федерации  от 27.08.2012 </w:t>
      </w:r>
      <w:r>
        <w:rPr>
          <w:rFonts w:ascii="Times New Roman" w:hAnsi="Times New Roman" w:eastAsia="Times New Roman" w:cs="Times New Roman"/>
          <w:color w:val="000000"/>
          <w:sz w:val="24"/>
          <w:highlight w:val="yellow"/>
        </w:rPr>
        <w:t xml:space="preserve">№860 </w:t>
      </w:r>
      <w:r>
        <w:rPr>
          <w:rFonts w:ascii="Times New Roman" w:hAnsi="Times New Roman" w:eastAsia="Times New Roman" w:cs="Times New Roman"/>
          <w:color w:val="000000"/>
          <w:sz w:val="24"/>
          <w:highlight w:val="yellow"/>
        </w:rPr>
        <w:t xml:space="preserve">«Об организации и проведении продажи государственного или муниципального имущества в электронной форме»</w:t>
      </w:r>
      <w:r>
        <w:rPr>
          <w:rFonts w:ascii="Times New Roman" w:hAnsi="Times New Roman" w:eastAsia="Times New Roman" w:cs="Times New Roman"/>
          <w:color w:val="000000"/>
          <w:sz w:val="24"/>
          <w:highlight w:val="yellow"/>
        </w:rPr>
        <w:t xml:space="preserve">.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r>
    </w:p>
    <w:p>
      <w:pPr>
        <w:ind w:left="0" w:right="0" w:firstLine="708"/>
        <w:jc w:val="both"/>
        <w:spacing w:before="0"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yellow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yellow"/>
        </w:rPr>
        <w:t xml:space="preserve">3</w:t>
      </w:r>
      <w:r>
        <w:rPr>
          <w:rFonts w:ascii="Times New Roman" w:hAnsi="Times New Roman" w:eastAsia="Times New Roman" w:cs="Times New Roman"/>
          <w:color w:val="000000"/>
          <w:sz w:val="24"/>
          <w:highlight w:val="yellow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highlight w:val="yellow"/>
        </w:rPr>
        <w:t xml:space="preserve">Разработка решений об условиях продажи Объектов осуществляется Комиссией по </w:t>
      </w:r>
      <w:r>
        <w:rPr>
          <w:rFonts w:ascii="Times New Roman" w:hAnsi="Times New Roman" w:eastAsia="Times New Roman" w:cs="Times New Roman"/>
          <w:color w:val="000000"/>
          <w:sz w:val="24"/>
          <w:highlight w:val="yellow"/>
        </w:rPr>
        <w:t xml:space="preserve">продаже </w:t>
      </w:r>
      <w:r>
        <w:rPr>
          <w:rFonts w:ascii="Times New Roman" w:hAnsi="Times New Roman" w:eastAsia="Times New Roman" w:cs="Times New Roman"/>
          <w:color w:val="000000"/>
          <w:sz w:val="24"/>
          <w:highlight w:val="yellow"/>
        </w:rPr>
        <w:t xml:space="preserve">жилых помещений муниципального жилищного фонда, </w:t>
      </w:r>
      <w:r>
        <w:rPr>
          <w:rFonts w:ascii="Times New Roman" w:hAnsi="Times New Roman" w:eastAsia="Times New Roman" w:cs="Times New Roman"/>
          <w:color w:val="000000"/>
          <w:sz w:val="24"/>
          <w:highlight w:val="yellow"/>
        </w:rPr>
        <w:t xml:space="preserve">признанных непригодными для проживания </w:t>
      </w:r>
      <w:r>
        <w:rPr>
          <w:rFonts w:ascii="Times New Roman" w:hAnsi="Times New Roman" w:eastAsia="Times New Roman" w:cs="Times New Roman"/>
          <w:color w:val="000000"/>
          <w:sz w:val="24"/>
          <w:highlight w:val="yellow"/>
        </w:rPr>
        <w:t xml:space="preserve">(далее по тексту - Комиссия)</w:t>
      </w:r>
      <w:r>
        <w:rPr>
          <w:rFonts w:ascii="Times New Roman" w:hAnsi="Times New Roman" w:eastAsia="Times New Roman" w:cs="Times New Roman"/>
          <w:color w:val="000000"/>
          <w:sz w:val="24"/>
          <w:highlight w:val="yellow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4"/>
          <w:highlight w:val="yellow"/>
        </w:rPr>
        <w:t xml:space="preserve"> состав </w:t>
      </w:r>
      <w:r>
        <w:rPr>
          <w:rFonts w:ascii="Times New Roman" w:hAnsi="Times New Roman" w:eastAsia="Times New Roman" w:cs="Times New Roman"/>
          <w:color w:val="000000"/>
          <w:sz w:val="24"/>
          <w:highlight w:val="yellow"/>
        </w:rPr>
        <w:t xml:space="preserve">и порядок работы </w:t>
      </w:r>
      <w:r>
        <w:rPr>
          <w:rFonts w:ascii="Times New Roman" w:hAnsi="Times New Roman" w:eastAsia="Times New Roman" w:cs="Times New Roman"/>
          <w:color w:val="000000"/>
          <w:sz w:val="24"/>
          <w:highlight w:val="yellow"/>
        </w:rPr>
        <w:t xml:space="preserve">которой утверждается муниципальным правовым актом</w:t>
      </w:r>
      <w:r>
        <w:rPr>
          <w:rFonts w:ascii="Times New Roman" w:hAnsi="Times New Roman" w:eastAsia="Times New Roman" w:cs="Times New Roman"/>
          <w:color w:val="000000"/>
          <w:sz w:val="24"/>
          <w:highlight w:val="yellow"/>
        </w:rPr>
        <w:t xml:space="preserve"> администрации города Мегиона.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yellow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yellow"/>
        </w:rPr>
      </w:r>
    </w:p>
    <w:p>
      <w:pPr>
        <w:ind w:left="0" w:right="0" w:firstLine="708"/>
        <w:jc w:val="both"/>
        <w:spacing w:before="0"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yellow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yellow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yellow"/>
        </w:rPr>
        <w:t xml:space="preserve">Разработанные Комиссией решения об условиях продажи утверждаются </w:t>
      </w:r>
      <w:r>
        <w:rPr>
          <w:rFonts w:ascii="Times New Roman" w:hAnsi="Times New Roman" w:eastAsia="Times New Roman" w:cs="Times New Roman"/>
          <w:color w:val="000000"/>
          <w:sz w:val="24"/>
          <w:highlight w:val="yellow"/>
        </w:rPr>
        <w:t xml:space="preserve">муниципальным правовым актом</w:t>
      </w:r>
      <w:r>
        <w:rPr>
          <w:rFonts w:ascii="Times New Roman" w:hAnsi="Times New Roman" w:eastAsia="Times New Roman" w:cs="Times New Roman"/>
          <w:color w:val="000000"/>
          <w:sz w:val="24"/>
          <w:highlight w:val="yellow"/>
        </w:rPr>
        <w:t xml:space="preserve"> администрации города Мегиона.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yellow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yellow"/>
        </w:rPr>
      </w:r>
    </w:p>
    <w:p>
      <w:pPr>
        <w:ind w:left="0" w:right="0" w:firstLine="708"/>
        <w:jc w:val="both"/>
        <w:spacing w:before="0"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  <w:t xml:space="preserve">4.</w:t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  <w:t xml:space="preserve">Начальная цена подлежащего отчуждению Объекта</w:t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  <w:t xml:space="preserve"> устанавливается  в соответствии с законодательством Российской Федерации, регулирующим оценочную деятельность, при</w:t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  <w:t xml:space="preserve"> условии, что со дня составления отчета об оценке объекта оценки до дня размещения на официальном сайте в сети «Интернет» информационного сообщения о продаже  муниципального имущества прошло не более чем шесть месяцев.</w:t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/>
    </w:p>
    <w:p>
      <w:pPr>
        <w:contextualSpacing/>
        <w:ind w:left="0" w:right="0" w:firstLine="0"/>
        <w:jc w:val="both"/>
        <w:spacing w:before="0"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</w:rPr>
      </w:r>
      <w:r/>
    </w:p>
    <w:p>
      <w:pPr>
        <w:ind w:left="0" w:right="0" w:firstLine="0"/>
        <w:jc w:val="center"/>
        <w:spacing w:before="0"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4. Заключительные положения</w:t>
      </w:r>
      <w:r/>
    </w:p>
    <w:p>
      <w:pPr>
        <w:ind w:left="0" w:right="0" w:firstLine="540"/>
        <w:jc w:val="both"/>
        <w:spacing w:before="0"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contextualSpacing/>
        <w:ind w:left="0" w:right="0" w:firstLine="708"/>
        <w:jc w:val="both"/>
        <w:spacing w:before="0"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1.Финансирование расходов по оценке рыночной стоимости отчуждаемого Объекта осуществляется за счет средств бюджета муниципального образования город Мегион.</w:t>
      </w:r>
      <w:r/>
    </w:p>
    <w:p>
      <w:pPr>
        <w:contextualSpacing/>
        <w:ind w:left="0" w:right="0" w:firstLine="708"/>
        <w:jc w:val="both"/>
        <w:spacing w:before="168"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2.Средства от продажи Объекта поступают в бюджет муниципального образования город Мегион в соответствии с действующим законодательством Российской Федерации.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>
      <w:pPr>
        <w:contextualSpacing/>
        <w:ind w:left="0" w:right="0" w:firstLine="708"/>
        <w:jc w:val="both"/>
        <w:spacing w:before="168" w:after="0" w:line="240" w:lineRule="auto"/>
        <w:rPr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  <w:t xml:space="preserve">3.Передача Объекта и оформление права собственности на него осуществляются в соответствии с законодательством Российской Федерации и договором купли-продажи не позднее чем через тридцать дней после дня полной оплаты.</w:t>
      </w:r>
      <w:r>
        <w:rPr>
          <w:highlight w:val="none"/>
        </w:rPr>
      </w:r>
      <w:r>
        <w:rPr>
          <w:highlight w:val="none"/>
        </w:rPr>
      </w:r>
    </w:p>
    <w:p>
      <w:pPr>
        <w:contextualSpacing/>
        <w:ind w:left="0" w:right="0" w:firstLine="708"/>
        <w:jc w:val="both"/>
        <w:spacing w:before="168"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4.К о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тношениям, не урег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улированным настоящим Порядком, применяются нормы гражданского законодательства Российской Федерации, правовых актов Российской Федерации и Ханты-Мансийского автономного округа – Югры, муниципальных правовых актов муниципального образования город Мегион.</w:t>
      </w:r>
      <w:r/>
    </w:p>
    <w:sectPr>
      <w:headerReference w:type="default" r:id="rId9"/>
      <w:footnotePr/>
      <w:endnotePr/>
      <w:type w:val="nextPage"/>
      <w:pgSz w:w="11906" w:h="16838" w:orient="portrait"/>
      <w:pgMar w:top="426" w:right="567" w:bottom="1105" w:left="1701" w:header="708" w:footer="708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Garamond">
    <w:panose1 w:val="02020404030301010803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1"/>
      <w:jc w:val="right"/>
    </w:pPr>
    <w:fldSimple w:instr="PAGE \* MERGEFORMAT">
      <w:r>
        <w:t xml:space="preserve">1</w:t>
      </w:r>
    </w:fldSimple>
    <w:r/>
    <w:r/>
  </w:p>
  <w:p>
    <w:pPr>
      <w:pStyle w:val="91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2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0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2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4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6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8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0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2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4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66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0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2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4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6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8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0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2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4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66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0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2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4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6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8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0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2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4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66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9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1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3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5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7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9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1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3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55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0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9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8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0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2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4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6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8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0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2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43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0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2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4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6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8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0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2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4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66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0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2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4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6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8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0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2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4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66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9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1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3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5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7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9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1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3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55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0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2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4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6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8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0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2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4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66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9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1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3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5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7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9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1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3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5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8">
    <w:name w:val="Heading 1"/>
    <w:basedOn w:val="901"/>
    <w:next w:val="901"/>
    <w:link w:val="72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29">
    <w:name w:val="Heading 1 Char"/>
    <w:basedOn w:val="902"/>
    <w:link w:val="728"/>
    <w:uiPriority w:val="9"/>
    <w:rPr>
      <w:rFonts w:ascii="Arial" w:hAnsi="Arial" w:eastAsia="Arial" w:cs="Arial"/>
      <w:sz w:val="40"/>
      <w:szCs w:val="40"/>
    </w:rPr>
  </w:style>
  <w:style w:type="paragraph" w:styleId="730">
    <w:name w:val="Heading 2"/>
    <w:basedOn w:val="901"/>
    <w:next w:val="901"/>
    <w:link w:val="73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31">
    <w:name w:val="Heading 2 Char"/>
    <w:basedOn w:val="902"/>
    <w:link w:val="730"/>
    <w:uiPriority w:val="9"/>
    <w:rPr>
      <w:rFonts w:ascii="Arial" w:hAnsi="Arial" w:eastAsia="Arial" w:cs="Arial"/>
      <w:sz w:val="34"/>
    </w:rPr>
  </w:style>
  <w:style w:type="paragraph" w:styleId="732">
    <w:name w:val="Heading 3"/>
    <w:basedOn w:val="901"/>
    <w:next w:val="901"/>
    <w:link w:val="73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33">
    <w:name w:val="Heading 3 Char"/>
    <w:basedOn w:val="902"/>
    <w:link w:val="732"/>
    <w:uiPriority w:val="9"/>
    <w:rPr>
      <w:rFonts w:ascii="Arial" w:hAnsi="Arial" w:eastAsia="Arial" w:cs="Arial"/>
      <w:sz w:val="30"/>
      <w:szCs w:val="30"/>
    </w:rPr>
  </w:style>
  <w:style w:type="paragraph" w:styleId="734">
    <w:name w:val="Heading 4"/>
    <w:basedOn w:val="901"/>
    <w:next w:val="901"/>
    <w:link w:val="73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35">
    <w:name w:val="Heading 4 Char"/>
    <w:basedOn w:val="902"/>
    <w:link w:val="734"/>
    <w:uiPriority w:val="9"/>
    <w:rPr>
      <w:rFonts w:ascii="Arial" w:hAnsi="Arial" w:eastAsia="Arial" w:cs="Arial"/>
      <w:b/>
      <w:bCs/>
      <w:sz w:val="26"/>
      <w:szCs w:val="26"/>
    </w:rPr>
  </w:style>
  <w:style w:type="paragraph" w:styleId="736">
    <w:name w:val="Heading 5"/>
    <w:basedOn w:val="901"/>
    <w:next w:val="901"/>
    <w:link w:val="73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7">
    <w:name w:val="Heading 5 Char"/>
    <w:basedOn w:val="902"/>
    <w:link w:val="736"/>
    <w:uiPriority w:val="9"/>
    <w:rPr>
      <w:rFonts w:ascii="Arial" w:hAnsi="Arial" w:eastAsia="Arial" w:cs="Arial"/>
      <w:b/>
      <w:bCs/>
      <w:sz w:val="24"/>
      <w:szCs w:val="24"/>
    </w:rPr>
  </w:style>
  <w:style w:type="paragraph" w:styleId="738">
    <w:name w:val="Heading 6"/>
    <w:basedOn w:val="901"/>
    <w:next w:val="901"/>
    <w:link w:val="73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9">
    <w:name w:val="Heading 6 Char"/>
    <w:basedOn w:val="902"/>
    <w:link w:val="738"/>
    <w:uiPriority w:val="9"/>
    <w:rPr>
      <w:rFonts w:ascii="Arial" w:hAnsi="Arial" w:eastAsia="Arial" w:cs="Arial"/>
      <w:b/>
      <w:bCs/>
      <w:sz w:val="22"/>
      <w:szCs w:val="22"/>
    </w:rPr>
  </w:style>
  <w:style w:type="paragraph" w:styleId="740">
    <w:name w:val="Heading 7"/>
    <w:basedOn w:val="901"/>
    <w:next w:val="901"/>
    <w:link w:val="74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41">
    <w:name w:val="Heading 7 Char"/>
    <w:basedOn w:val="902"/>
    <w:link w:val="74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42">
    <w:name w:val="Heading 8"/>
    <w:basedOn w:val="901"/>
    <w:next w:val="901"/>
    <w:link w:val="74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43">
    <w:name w:val="Heading 8 Char"/>
    <w:basedOn w:val="902"/>
    <w:link w:val="742"/>
    <w:uiPriority w:val="9"/>
    <w:rPr>
      <w:rFonts w:ascii="Arial" w:hAnsi="Arial" w:eastAsia="Arial" w:cs="Arial"/>
      <w:i/>
      <w:iCs/>
      <w:sz w:val="22"/>
      <w:szCs w:val="22"/>
    </w:rPr>
  </w:style>
  <w:style w:type="paragraph" w:styleId="744">
    <w:name w:val="Heading 9"/>
    <w:basedOn w:val="901"/>
    <w:next w:val="901"/>
    <w:link w:val="74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5">
    <w:name w:val="Heading 9 Char"/>
    <w:basedOn w:val="902"/>
    <w:link w:val="744"/>
    <w:uiPriority w:val="9"/>
    <w:rPr>
      <w:rFonts w:ascii="Arial" w:hAnsi="Arial" w:eastAsia="Arial" w:cs="Arial"/>
      <w:i/>
      <w:iCs/>
      <w:sz w:val="21"/>
      <w:szCs w:val="21"/>
    </w:rPr>
  </w:style>
  <w:style w:type="paragraph" w:styleId="746">
    <w:name w:val="No Spacing"/>
    <w:uiPriority w:val="1"/>
    <w:qFormat/>
    <w:pPr>
      <w:spacing w:before="0" w:after="0" w:line="240" w:lineRule="auto"/>
    </w:pPr>
  </w:style>
  <w:style w:type="character" w:styleId="747">
    <w:name w:val="Title Char"/>
    <w:basedOn w:val="902"/>
    <w:link w:val="905"/>
    <w:uiPriority w:val="10"/>
    <w:rPr>
      <w:sz w:val="48"/>
      <w:szCs w:val="48"/>
    </w:rPr>
  </w:style>
  <w:style w:type="character" w:styleId="748">
    <w:name w:val="Subtitle Char"/>
    <w:basedOn w:val="902"/>
    <w:link w:val="907"/>
    <w:uiPriority w:val="11"/>
    <w:rPr>
      <w:sz w:val="24"/>
      <w:szCs w:val="24"/>
    </w:rPr>
  </w:style>
  <w:style w:type="paragraph" w:styleId="749">
    <w:name w:val="Quote"/>
    <w:basedOn w:val="901"/>
    <w:next w:val="901"/>
    <w:link w:val="750"/>
    <w:uiPriority w:val="29"/>
    <w:qFormat/>
    <w:pPr>
      <w:ind w:left="720" w:right="720"/>
    </w:pPr>
    <w:rPr>
      <w:i/>
    </w:rPr>
  </w:style>
  <w:style w:type="character" w:styleId="750">
    <w:name w:val="Quote Char"/>
    <w:link w:val="749"/>
    <w:uiPriority w:val="29"/>
    <w:rPr>
      <w:i/>
    </w:rPr>
  </w:style>
  <w:style w:type="paragraph" w:styleId="751">
    <w:name w:val="Intense Quote"/>
    <w:basedOn w:val="901"/>
    <w:next w:val="901"/>
    <w:link w:val="75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2">
    <w:name w:val="Intense Quote Char"/>
    <w:link w:val="751"/>
    <w:uiPriority w:val="30"/>
    <w:rPr>
      <w:i/>
    </w:rPr>
  </w:style>
  <w:style w:type="character" w:styleId="753">
    <w:name w:val="Header Char"/>
    <w:basedOn w:val="902"/>
    <w:link w:val="911"/>
    <w:uiPriority w:val="99"/>
  </w:style>
  <w:style w:type="character" w:styleId="754">
    <w:name w:val="Footer Char"/>
    <w:basedOn w:val="902"/>
    <w:link w:val="913"/>
    <w:uiPriority w:val="99"/>
  </w:style>
  <w:style w:type="paragraph" w:styleId="755">
    <w:name w:val="Caption"/>
    <w:basedOn w:val="901"/>
    <w:next w:val="901"/>
    <w:link w:val="75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6">
    <w:name w:val="Caption Char"/>
    <w:basedOn w:val="902"/>
    <w:link w:val="755"/>
    <w:uiPriority w:val="35"/>
    <w:rPr>
      <w:b/>
      <w:bCs/>
      <w:color w:val="4f81bd" w:themeColor="accent1"/>
      <w:sz w:val="18"/>
      <w:szCs w:val="18"/>
    </w:rPr>
  </w:style>
  <w:style w:type="table" w:styleId="757">
    <w:name w:val="Table Grid"/>
    <w:basedOn w:val="90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8">
    <w:name w:val="Table Grid Light"/>
    <w:basedOn w:val="90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9">
    <w:name w:val="Plain Table 1"/>
    <w:basedOn w:val="90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0">
    <w:name w:val="Plain Table 2"/>
    <w:basedOn w:val="90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1">
    <w:name w:val="Plain Table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2">
    <w:name w:val="Plain Table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Plain Table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4">
    <w:name w:val="Grid Table 1 Light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1 Light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1 Light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Grid Table 1 Light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Grid Table 1 Light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Grid Table 1 Light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Grid Table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2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2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2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2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2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2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3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3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3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3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3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4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6">
    <w:name w:val="Grid Table 4 - Accent 1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7">
    <w:name w:val="Grid Table 4 - Accent 2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8">
    <w:name w:val="Grid Table 4 - Accent 3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9">
    <w:name w:val="Grid Table 4 - Accent 4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0">
    <w:name w:val="Grid Table 4 - Accent 5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91">
    <w:name w:val="Grid Table 4 - Accent 6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2">
    <w:name w:val="Grid Table 5 Dark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93">
    <w:name w:val="Grid Table 5 Dark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94">
    <w:name w:val="Grid Table 5 Dark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95">
    <w:name w:val="Grid Table 5 Dark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96">
    <w:name w:val="Grid Table 5 Dark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97">
    <w:name w:val="Grid Table 5 Dark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98">
    <w:name w:val="Grid Table 5 Dark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99">
    <w:name w:val="Grid Table 6 Colorful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00">
    <w:name w:val="Grid Table 6 Colorful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01">
    <w:name w:val="Grid Table 6 Colorful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02">
    <w:name w:val="Grid Table 6 Colorful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03">
    <w:name w:val="Grid Table 6 Colorful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04">
    <w:name w:val="Grid Table 6 Colorful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5">
    <w:name w:val="Grid Table 6 Colorful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6">
    <w:name w:val="Grid Table 7 Colorful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7 Colorful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7 Colorful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7 Colorful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7 Colorful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7 Colorful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7 Colorful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1 Light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1 Light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List Table 1 Light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List Table 1 Light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List Table 1 Light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List Table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21">
    <w:name w:val="List Table 2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2">
    <w:name w:val="List Table 2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3">
    <w:name w:val="List Table 2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4">
    <w:name w:val="List Table 2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5">
    <w:name w:val="List Table 2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6">
    <w:name w:val="List Table 2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7">
    <w:name w:val="List Table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3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3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3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3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3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4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4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4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4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4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5 Dark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2">
    <w:name w:val="List Table 5 Dark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3">
    <w:name w:val="List Table 5 Dark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4">
    <w:name w:val="List Table 5 Dark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5">
    <w:name w:val="List Table 5 Dark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6">
    <w:name w:val="List Table 5 Dark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7">
    <w:name w:val="List Table 5 Dark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8">
    <w:name w:val="List Table 6 Colorful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9">
    <w:name w:val="List Table 6 Colorful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50">
    <w:name w:val="List Table 6 Colorful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51">
    <w:name w:val="List Table 6 Colorful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2">
    <w:name w:val="List Table 6 Colorful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3">
    <w:name w:val="List Table 6 Colorful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4">
    <w:name w:val="List Table 6 Colorful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5">
    <w:name w:val="List Table 7 Colorful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6">
    <w:name w:val="List Table 7 Colorful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57">
    <w:name w:val="List Table 7 Colorful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58">
    <w:name w:val="List Table 7 Colorful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59">
    <w:name w:val="List Table 7 Colorful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60">
    <w:name w:val="List Table 7 Colorful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61">
    <w:name w:val="List Table 7 Colorful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62">
    <w:name w:val="Lined - Accent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3">
    <w:name w:val="Lined - Accent 1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4">
    <w:name w:val="Lined - Accent 2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5">
    <w:name w:val="Lined - Accent 3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6">
    <w:name w:val="Lined - Accent 4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7">
    <w:name w:val="Lined - Accent 5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8">
    <w:name w:val="Lined - Accent 6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9">
    <w:name w:val="Bordered &amp; Lined - Accent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0">
    <w:name w:val="Bordered &amp; Lined - Accent 1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71">
    <w:name w:val="Bordered &amp; Lined - Accent 2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2">
    <w:name w:val="Bordered &amp; Lined - Accent 3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3">
    <w:name w:val="Bordered &amp; Lined - Accent 4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4">
    <w:name w:val="Bordered &amp; Lined - Accent 5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5">
    <w:name w:val="Bordered &amp; Lined - Accent 6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6">
    <w:name w:val="Bordered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7">
    <w:name w:val="Bordered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8">
    <w:name w:val="Bordered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9">
    <w:name w:val="Bordered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80">
    <w:name w:val="Bordered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81">
    <w:name w:val="Bordered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2">
    <w:name w:val="Bordered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83">
    <w:name w:val="Hyperlink"/>
    <w:uiPriority w:val="99"/>
    <w:unhideWhenUsed/>
    <w:rPr>
      <w:color w:val="0000ff" w:themeColor="hyperlink"/>
      <w:u w:val="single"/>
    </w:rPr>
  </w:style>
  <w:style w:type="paragraph" w:styleId="884">
    <w:name w:val="footnote text"/>
    <w:basedOn w:val="901"/>
    <w:link w:val="885"/>
    <w:uiPriority w:val="99"/>
    <w:semiHidden/>
    <w:unhideWhenUsed/>
    <w:pPr>
      <w:spacing w:after="40" w:line="240" w:lineRule="auto"/>
    </w:pPr>
    <w:rPr>
      <w:sz w:val="18"/>
    </w:rPr>
  </w:style>
  <w:style w:type="character" w:styleId="885">
    <w:name w:val="Footnote Text Char"/>
    <w:link w:val="884"/>
    <w:uiPriority w:val="99"/>
    <w:rPr>
      <w:sz w:val="18"/>
    </w:rPr>
  </w:style>
  <w:style w:type="character" w:styleId="886">
    <w:name w:val="footnote reference"/>
    <w:basedOn w:val="902"/>
    <w:uiPriority w:val="99"/>
    <w:unhideWhenUsed/>
    <w:rPr>
      <w:vertAlign w:val="superscript"/>
    </w:rPr>
  </w:style>
  <w:style w:type="paragraph" w:styleId="887">
    <w:name w:val="endnote text"/>
    <w:basedOn w:val="901"/>
    <w:link w:val="888"/>
    <w:uiPriority w:val="99"/>
    <w:semiHidden/>
    <w:unhideWhenUsed/>
    <w:pPr>
      <w:spacing w:after="0" w:line="240" w:lineRule="auto"/>
    </w:pPr>
    <w:rPr>
      <w:sz w:val="20"/>
    </w:rPr>
  </w:style>
  <w:style w:type="character" w:styleId="888">
    <w:name w:val="Endnote Text Char"/>
    <w:link w:val="887"/>
    <w:uiPriority w:val="99"/>
    <w:rPr>
      <w:sz w:val="20"/>
    </w:rPr>
  </w:style>
  <w:style w:type="character" w:styleId="889">
    <w:name w:val="endnote reference"/>
    <w:basedOn w:val="902"/>
    <w:uiPriority w:val="99"/>
    <w:semiHidden/>
    <w:unhideWhenUsed/>
    <w:rPr>
      <w:vertAlign w:val="superscript"/>
    </w:rPr>
  </w:style>
  <w:style w:type="paragraph" w:styleId="890">
    <w:name w:val="toc 1"/>
    <w:basedOn w:val="901"/>
    <w:next w:val="901"/>
    <w:uiPriority w:val="39"/>
    <w:unhideWhenUsed/>
    <w:pPr>
      <w:ind w:left="0" w:right="0" w:firstLine="0"/>
      <w:spacing w:after="57"/>
    </w:pPr>
  </w:style>
  <w:style w:type="paragraph" w:styleId="891">
    <w:name w:val="toc 2"/>
    <w:basedOn w:val="901"/>
    <w:next w:val="901"/>
    <w:uiPriority w:val="39"/>
    <w:unhideWhenUsed/>
    <w:pPr>
      <w:ind w:left="283" w:right="0" w:firstLine="0"/>
      <w:spacing w:after="57"/>
    </w:pPr>
  </w:style>
  <w:style w:type="paragraph" w:styleId="892">
    <w:name w:val="toc 3"/>
    <w:basedOn w:val="901"/>
    <w:next w:val="901"/>
    <w:uiPriority w:val="39"/>
    <w:unhideWhenUsed/>
    <w:pPr>
      <w:ind w:left="567" w:right="0" w:firstLine="0"/>
      <w:spacing w:after="57"/>
    </w:pPr>
  </w:style>
  <w:style w:type="paragraph" w:styleId="893">
    <w:name w:val="toc 4"/>
    <w:basedOn w:val="901"/>
    <w:next w:val="901"/>
    <w:uiPriority w:val="39"/>
    <w:unhideWhenUsed/>
    <w:pPr>
      <w:ind w:left="850" w:right="0" w:firstLine="0"/>
      <w:spacing w:after="57"/>
    </w:pPr>
  </w:style>
  <w:style w:type="paragraph" w:styleId="894">
    <w:name w:val="toc 5"/>
    <w:basedOn w:val="901"/>
    <w:next w:val="901"/>
    <w:uiPriority w:val="39"/>
    <w:unhideWhenUsed/>
    <w:pPr>
      <w:ind w:left="1134" w:right="0" w:firstLine="0"/>
      <w:spacing w:after="57"/>
    </w:pPr>
  </w:style>
  <w:style w:type="paragraph" w:styleId="895">
    <w:name w:val="toc 6"/>
    <w:basedOn w:val="901"/>
    <w:next w:val="901"/>
    <w:uiPriority w:val="39"/>
    <w:unhideWhenUsed/>
    <w:pPr>
      <w:ind w:left="1417" w:right="0" w:firstLine="0"/>
      <w:spacing w:after="57"/>
    </w:pPr>
  </w:style>
  <w:style w:type="paragraph" w:styleId="896">
    <w:name w:val="toc 7"/>
    <w:basedOn w:val="901"/>
    <w:next w:val="901"/>
    <w:uiPriority w:val="39"/>
    <w:unhideWhenUsed/>
    <w:pPr>
      <w:ind w:left="1701" w:right="0" w:firstLine="0"/>
      <w:spacing w:after="57"/>
    </w:pPr>
  </w:style>
  <w:style w:type="paragraph" w:styleId="897">
    <w:name w:val="toc 8"/>
    <w:basedOn w:val="901"/>
    <w:next w:val="901"/>
    <w:uiPriority w:val="39"/>
    <w:unhideWhenUsed/>
    <w:pPr>
      <w:ind w:left="1984" w:right="0" w:firstLine="0"/>
      <w:spacing w:after="57"/>
    </w:pPr>
  </w:style>
  <w:style w:type="paragraph" w:styleId="898">
    <w:name w:val="toc 9"/>
    <w:basedOn w:val="901"/>
    <w:next w:val="901"/>
    <w:uiPriority w:val="39"/>
    <w:unhideWhenUsed/>
    <w:pPr>
      <w:ind w:left="2268" w:right="0" w:firstLine="0"/>
      <w:spacing w:after="57"/>
    </w:pPr>
  </w:style>
  <w:style w:type="paragraph" w:styleId="899">
    <w:name w:val="TOC Heading"/>
    <w:uiPriority w:val="39"/>
    <w:unhideWhenUsed/>
  </w:style>
  <w:style w:type="paragraph" w:styleId="900">
    <w:name w:val="table of figures"/>
    <w:basedOn w:val="901"/>
    <w:next w:val="901"/>
    <w:uiPriority w:val="99"/>
    <w:unhideWhenUsed/>
    <w:pPr>
      <w:spacing w:after="0" w:afterAutospacing="0"/>
    </w:pPr>
  </w:style>
  <w:style w:type="paragraph" w:styleId="901" w:default="1">
    <w:name w:val="Normal"/>
    <w:qFormat/>
    <w:rPr>
      <w:sz w:val="24"/>
      <w:szCs w:val="24"/>
    </w:rPr>
  </w:style>
  <w:style w:type="character" w:styleId="902" w:default="1">
    <w:name w:val="Default Paragraph Font"/>
    <w:uiPriority w:val="1"/>
    <w:semiHidden/>
    <w:unhideWhenUsed/>
  </w:style>
  <w:style w:type="table" w:styleId="90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04" w:default="1">
    <w:name w:val="No List"/>
    <w:uiPriority w:val="99"/>
    <w:semiHidden/>
    <w:unhideWhenUsed/>
  </w:style>
  <w:style w:type="paragraph" w:styleId="905">
    <w:name w:val="Title"/>
    <w:basedOn w:val="901"/>
    <w:link w:val="906"/>
    <w:qFormat/>
    <w:pPr>
      <w:jc w:val="center"/>
    </w:pPr>
    <w:rPr>
      <w:rFonts w:ascii="Garamond" w:hAnsi="Garamond"/>
      <w:szCs w:val="20"/>
    </w:rPr>
  </w:style>
  <w:style w:type="character" w:styleId="906" w:customStyle="1">
    <w:name w:val="Заголовок Знак"/>
    <w:basedOn w:val="902"/>
    <w:link w:val="905"/>
    <w:rPr>
      <w:rFonts w:ascii="Garamond" w:hAnsi="Garamond"/>
      <w:sz w:val="24"/>
    </w:rPr>
  </w:style>
  <w:style w:type="paragraph" w:styleId="907">
    <w:name w:val="Subtitle"/>
    <w:basedOn w:val="901"/>
    <w:link w:val="908"/>
    <w:qFormat/>
    <w:pPr>
      <w:jc w:val="center"/>
    </w:pPr>
    <w:rPr>
      <w:rFonts w:eastAsia="Calibri"/>
      <w:b/>
      <w:color w:val="ff0000"/>
      <w:szCs w:val="20"/>
    </w:rPr>
  </w:style>
  <w:style w:type="character" w:styleId="908" w:customStyle="1">
    <w:name w:val="Подзаголовок Знак"/>
    <w:basedOn w:val="902"/>
    <w:link w:val="907"/>
    <w:rPr>
      <w:rFonts w:eastAsia="Calibri"/>
      <w:b/>
      <w:color w:val="ff0000"/>
      <w:sz w:val="24"/>
    </w:rPr>
  </w:style>
  <w:style w:type="paragraph" w:styleId="909">
    <w:name w:val="Balloon Text"/>
    <w:basedOn w:val="901"/>
    <w:link w:val="910"/>
    <w:uiPriority w:val="99"/>
    <w:semiHidden/>
    <w:unhideWhenUsed/>
    <w:rPr>
      <w:rFonts w:ascii="Tahoma" w:hAnsi="Tahoma" w:cs="Tahoma"/>
      <w:sz w:val="16"/>
      <w:szCs w:val="16"/>
    </w:rPr>
  </w:style>
  <w:style w:type="character" w:styleId="910" w:customStyle="1">
    <w:name w:val="Текст выноски Знак"/>
    <w:basedOn w:val="902"/>
    <w:link w:val="909"/>
    <w:uiPriority w:val="99"/>
    <w:semiHidden/>
    <w:rPr>
      <w:rFonts w:ascii="Tahoma" w:hAnsi="Tahoma" w:cs="Tahoma"/>
      <w:sz w:val="16"/>
      <w:szCs w:val="16"/>
    </w:rPr>
  </w:style>
  <w:style w:type="paragraph" w:styleId="911">
    <w:name w:val="Header"/>
    <w:basedOn w:val="901"/>
    <w:link w:val="912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12" w:customStyle="1">
    <w:name w:val="Верхний колонтитул Знак"/>
    <w:basedOn w:val="902"/>
    <w:link w:val="911"/>
    <w:uiPriority w:val="99"/>
    <w:rPr>
      <w:sz w:val="24"/>
      <w:szCs w:val="24"/>
    </w:rPr>
  </w:style>
  <w:style w:type="paragraph" w:styleId="913">
    <w:name w:val="Footer"/>
    <w:basedOn w:val="901"/>
    <w:link w:val="91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14" w:customStyle="1">
    <w:name w:val="Нижний колонтитул Знак"/>
    <w:basedOn w:val="902"/>
    <w:link w:val="913"/>
    <w:uiPriority w:val="99"/>
    <w:rPr>
      <w:sz w:val="24"/>
      <w:szCs w:val="24"/>
    </w:rPr>
  </w:style>
  <w:style w:type="paragraph" w:styleId="915">
    <w:name w:val="List Paragraph"/>
    <w:basedOn w:val="901"/>
    <w:uiPriority w:val="34"/>
    <w:qFormat/>
    <w:pPr>
      <w:contextualSpacing/>
      <w:ind w:left="720"/>
    </w:pPr>
  </w:style>
  <w:style w:type="paragraph" w:styleId="916" w:customStyle="1">
    <w:name w:val="ConsPlusNormal"/>
    <w:pPr>
      <w:widowControl w:val="off"/>
    </w:pPr>
    <w:rPr>
      <w:rFonts w:ascii="Calibri" w:hAnsi="Calibri" w:cs="Calibri" w:eastAsiaTheme="minorEastAsia"/>
      <w:sz w:val="22"/>
      <w:szCs w:val="22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Relationship Id="rId11" Type="http://schemas.openxmlformats.org/officeDocument/2006/relationships/hyperlink" Target="consultantplus://offline/ref=9EFBF6E89202F534A2B8F403A4D2A0018F4C99AC30EDC14CDB07CDD30B93B323925454B9D7B7D3C53F346510DBq3E" TargetMode="External"/><Relationship Id="rId12" Type="http://schemas.openxmlformats.org/officeDocument/2006/relationships/hyperlink" Target="consultantplus://offline/ref=9EFBF6E89202F534A2B8F403A4D2A0018F4C99AC30EDC14CDB07CDD30B93B323925454B9D7B7D3C53F346216DBq8E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Р7-Офис/2025.1.1.763</Application>
  <Company>Администрация г.Мегион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MaksimovaVE</cp:lastModifiedBy>
  <cp:revision>149</cp:revision>
  <dcterms:created xsi:type="dcterms:W3CDTF">2020-07-31T07:22:00Z</dcterms:created>
  <dcterms:modified xsi:type="dcterms:W3CDTF">2026-10-13T09:25:35Z</dcterms:modified>
</cp:coreProperties>
</file>