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160939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900" cy="46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  № _______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36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дополнительной мере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6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социальной поддержки гражданам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6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городском округе Мегион,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оказавшим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6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содействие в привлечении граждан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6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к заключению контракта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6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Ханты-Мансийском автономном округе-Югре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6"/>
        <w:jc w:val="left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прохождении военной службы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Style w:val="836"/>
        <w:jc w:val="left"/>
        <w:spacing w:line="22" w:lineRule="atLeast"/>
        <w:rPr>
          <w:rFonts w:ascii="Times New Roman" w:hAnsi="Times New Roman"/>
          <w:b w:val="0"/>
          <w:bCs w:val="0"/>
          <w:spacing w:val="-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Вооруженных силах Российской Федерации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</w:rPr>
      </w:r>
    </w:p>
    <w:p>
      <w:pPr>
        <w:pStyle w:val="836"/>
        <w:ind w:firstLine="708"/>
        <w:jc w:val="both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«О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дополнительной мере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социальной поддержки гражданам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городском округе Мегион,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оказавшим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содействие в привлечении граждан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к заключению контракта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Ханты-Мансийском автономном                          округе-Югре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прохождении военной службы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Вооруженных силах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частью 5 статьи 36 Федеральным законом от 20.03.2025                    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руководствуясь статьей 19 устава города Мегиона, Дума города Мегиона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836"/>
        <w:ind w:firstLine="708"/>
        <w:jc w:val="both"/>
        <w:spacing w:line="22" w:lineRule="atLeas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Установить дополнительную меру социальной поддержки гражданам в городском округе Мегион, оказавшим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содействие в привлечении граждан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к заключению контракта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Ханты-Мансийском автономном округе-Югре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прохождении военной службы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Вооруженных силах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 единовременной денежной выплаты в размере 230 000 (двести тридцать тысяч) рублей.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Порядок предоставления дополнительной меры социальной поддержки гражданам в городском округе Мегион,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оказавшим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содействие в привлечении граждан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к заключению контракта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Ханты-Мансийском автономном округе-Югре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 прохождении военной службы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Вооруженных силах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утверждается постановлением администрации города Мегиона.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Финансирование расходов на предоставление дополнительной меры социальной поддержки осуществляется за счет средств бюджета городского округа Мегион.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Настоящее решение вступает в силу после его официального опубликования и распространяется на правоотношения, возникшие с 01.01.2026 по 31.12.2026.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98"/>
      </w:tblGrid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tbl>
            <w:tblPr>
              <w:tblW w:w="9498" w:type="dxa"/>
              <w:tblCellSpacing w:w="15" w:type="dxa"/>
              <w:tblInd w:w="-45" w:type="dxa"/>
              <w:tblLayout w:type="fixed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820"/>
            </w:tblGrid>
            <w:tr>
              <w:tblPrEx/>
              <w:trPr>
                <w:tblCellSpacing w:w="15" w:type="dxa"/>
              </w:trPr>
              <w:tc>
                <w:tcPr>
                  <w:tcW w:w="4633" w:type="dxa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Председатель Думы города Мегиона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В.С.Заднепровская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_________________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«____»___________202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75" w:type="dxa"/>
                  <w:vAlign w:val="center"/>
                  <w:textDirection w:val="lrTb"/>
                  <w:noWrap w:val="false"/>
                </w:tcPr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Глава города Мегиона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А.В.Петриченко___________________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«___»_____________202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2026-01-16T07:23:10Z</dcterms:modified>
</cp:coreProperties>
</file>