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  <w:t xml:space="preserve">ПРОЕКТ</w:t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</w:p>
    <w:p>
      <w:pPr>
        <w:ind w:left="3540" w:firstLine="708"/>
        <w:jc w:val="both"/>
        <w:spacing w:after="0" w:line="288" w:lineRule="atLeast"/>
        <w:shd w:val="clear" w:color="auto" w:fill="ffffff"/>
        <w:rPr>
          <w:rFonts w:ascii="Arial" w:hAnsi="Arial" w:eastAsia="Times New Roman" w:cs="Arial"/>
          <w:b/>
          <w:bCs/>
          <w:spacing w:val="2"/>
          <w:sz w:val="28"/>
          <w:szCs w:val="28"/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925" cy="676275"/>
                <wp:effectExtent l="0" t="0" r="9525" b="9525"/>
                <wp:docPr id="1" name="Рисунок 1" descr="гер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429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5pt;height:53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Arial" w:hAnsi="Arial" w:eastAsia="Times New Roman" w:cs="Arial"/>
          <w:b/>
          <w:bCs/>
          <w:spacing w:val="2"/>
          <w:sz w:val="28"/>
          <w:szCs w:val="28"/>
          <w:lang w:eastAsia="ru-RU"/>
        </w:rPr>
      </w:r>
      <w:r>
        <w:rPr>
          <w:rFonts w:ascii="Arial" w:hAnsi="Arial" w:eastAsia="Times New Roman" w:cs="Arial"/>
          <w:b/>
          <w:bCs/>
          <w:spacing w:val="2"/>
          <w:sz w:val="28"/>
          <w:szCs w:val="28"/>
          <w:lang w:eastAsia="ru-RU"/>
        </w:rPr>
      </w:r>
    </w:p>
    <w:p>
      <w:pPr>
        <w:jc w:val="center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  <w:t xml:space="preserve">ХАНТЫ-МАНСИЙСКИЙ АВТОНОМНЫЙ ОКРУГ</w:t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  <w:t xml:space="preserve"> – ЮГРА</w:t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</w:p>
    <w:p>
      <w:pPr>
        <w:jc w:val="center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  <w:t xml:space="preserve">ТЮМЕНСКОЙ ОБЛАСТИ</w:t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</w:p>
    <w:p>
      <w:pPr>
        <w:jc w:val="center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  <w:t xml:space="preserve">ПРЕДСТАВИТЕЛЬНЫЙ ОРГАН МУНИЦИПАЛЬНОГО ОБРАЗОВАНИЯ </w:t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r>
    </w:p>
    <w:p>
      <w:pPr>
        <w:jc w:val="center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</w:p>
    <w:p>
      <w:pPr>
        <w:jc w:val="center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</w:p>
    <w:p>
      <w:pPr>
        <w:jc w:val="center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2"/>
          <w:sz w:val="28"/>
          <w:szCs w:val="28"/>
          <w:lang w:eastAsia="ru-RU"/>
        </w:rPr>
      </w:r>
    </w:p>
    <w:p>
      <w:pPr>
        <w:jc w:val="both"/>
        <w:spacing w:after="0" w:line="288" w:lineRule="atLeast"/>
        <w:shd w:val="clear" w:color="auto" w:fill="ffffff"/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  <w:t xml:space="preserve">«__»______ 2026</w:t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  <w:tab/>
        <w:t xml:space="preserve">                                     №_________</w:t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pacing w:val="2"/>
          <w:sz w:val="24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дополнительной мере </w:t>
      </w:r>
      <w:r>
        <w:rPr>
          <w:rFonts w:ascii="Times New Roman" w:hAnsi="Times New Roman" w:cs="Times New Roman"/>
          <w:sz w:val="24"/>
          <w:szCs w:val="24"/>
        </w:rPr>
        <w:t xml:space="preserve">социальной поддержки лицам,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принимающим (принимавшим) </w:t>
      </w:r>
      <w:r>
        <w:rPr>
          <w:rFonts w:ascii="Times New Roman" w:hAnsi="Times New Roman" w:cs="Times New Roman"/>
          <w:sz w:val="24"/>
          <w:szCs w:val="24"/>
        </w:rPr>
        <w:t xml:space="preserve">участие (содействующим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(содействовавшим) выполнению задач) </w:t>
      </w:r>
      <w:r>
        <w:rPr>
          <w:rFonts w:ascii="Times New Roman" w:hAnsi="Times New Roman" w:cs="Times New Roman"/>
          <w:sz w:val="24"/>
          <w:szCs w:val="24"/>
        </w:rPr>
        <w:t xml:space="preserve">в специальной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военной операции, и членам их семей в сфере культуры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проект решения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>
        <w:rPr>
          <w:rFonts w:ascii="Times New Roman" w:hAnsi="Times New Roman" w:cs="Times New Roman"/>
          <w:sz w:val="24"/>
          <w:szCs w:val="24"/>
        </w:rPr>
        <w:t xml:space="preserve">города Мегиона</w:t>
      </w:r>
      <w:r>
        <w:rPr>
          <w:rFonts w:ascii="Times New Roman" w:hAnsi="Times New Roman" w:cs="Times New Roman"/>
          <w:sz w:val="24"/>
          <w:szCs w:val="24"/>
        </w:rPr>
        <w:t xml:space="preserve"> «О дополнительной мере </w:t>
      </w:r>
      <w:r>
        <w:rPr>
          <w:rFonts w:ascii="Times New Roman" w:hAnsi="Times New Roman" w:cs="Times New Roman"/>
          <w:sz w:val="24"/>
          <w:szCs w:val="24"/>
        </w:rPr>
        <w:t xml:space="preserve">социальной поддержки лицам, принимающим (принимавшим) </w:t>
      </w:r>
      <w:r>
        <w:rPr>
          <w:rFonts w:ascii="Times New Roman" w:hAnsi="Times New Roman" w:cs="Times New Roman"/>
          <w:sz w:val="24"/>
          <w:szCs w:val="24"/>
        </w:rPr>
        <w:t xml:space="preserve">участие (содействующим (содействовавшим) выполнению задач) </w:t>
      </w:r>
      <w:r>
        <w:rPr>
          <w:rFonts w:ascii="Times New Roman" w:hAnsi="Times New Roman" w:cs="Times New Roman"/>
          <w:sz w:val="24"/>
          <w:szCs w:val="24"/>
        </w:rPr>
        <w:t xml:space="preserve">в специальной военной операции, и членам их семей в сфере культуры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Федеральными законами от 20.03.2025 №33-ФЗ «Об общих принципах организации местного самоуправления в единой системе публичной власти», Федеральным законом от 27.05.1998 №76-ФЗ «О статусе военнослужащих», Указом Президента Российской Федераци</w:t>
      </w:r>
      <w:r>
        <w:rPr>
          <w:rFonts w:ascii="Times New Roman" w:hAnsi="Times New Roman" w:cs="Times New Roman"/>
          <w:sz w:val="24"/>
          <w:szCs w:val="24"/>
        </w:rPr>
        <w:t xml:space="preserve">и от 15.05.2026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Законом Ханты-Мансийского автономного округа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Югры от 03.07.2026 №58-0</w:t>
      </w:r>
      <w:r>
        <w:rPr>
          <w:rFonts w:ascii="Times New Roman" w:hAnsi="Times New Roman" w:cs="Times New Roman"/>
          <w:sz w:val="24"/>
          <w:szCs w:val="24"/>
        </w:rPr>
        <w:t xml:space="preserve">3 «О внесении изменений в отдельные законы Ханты-Мансийского автономного округа – Югры», постановлением Правительства Ханты-Мансийского автономного округа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Югры от 10.02.2023 №51-п «О едином перечне прав, льгот, социальных гарантий и компенсаций в Ханты-М</w:t>
      </w:r>
      <w:r>
        <w:rPr>
          <w:rFonts w:ascii="Times New Roman" w:hAnsi="Times New Roman" w:cs="Times New Roman"/>
          <w:sz w:val="24"/>
          <w:szCs w:val="24"/>
        </w:rPr>
        <w:t xml:space="preserve">ансийском автономном округе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Югре гражданам, принимающим участие в специальной военной операции, и членам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их семей»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руководствуясь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статьей 19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устава города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Мегиона, Дума города Мегиона: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РЕШИЛА: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1.Установить за счет средств бюд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жета города Мегиона дополнительную меру социальной поддержки, предоставляемую муниципальными учреждениями, подведомственными управлению культуры администрации города Мегиона (далее –  учреждения), льготы в виде беспл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атного посещения проводимых ими платных мероприятий для лиц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указанных в пункте 1 Указа Президента Российской Федерации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15.05.2026 №327 «О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единых базовых мерах поддержки лиц, принимающих (принимавших) участие в специальной военной операции, и других категорий лиц в</w:t>
      </w:r>
      <w:r>
        <w:rPr>
          <w:rFonts w:ascii="Times New Roman" w:hAnsi="Times New Roman" w:cs="Times New Roman"/>
          <w:sz w:val="24"/>
          <w:szCs w:val="24"/>
        </w:rPr>
        <w:t xml:space="preserve"> субъектах Российской Федерации (д</w:t>
      </w:r>
      <w:r>
        <w:rPr>
          <w:rFonts w:ascii="Times New Roman" w:hAnsi="Times New Roman" w:cs="Times New Roman"/>
          <w:sz w:val="24"/>
          <w:szCs w:val="24"/>
        </w:rPr>
        <w:t xml:space="preserve">алее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Указ), на срок не менее чем до конца года, следующего за годом завершения специальной военной операции, а для лиц, указанных в подпунктах «а»-«в» пункта 1 Указа, признанных в установленном порядке инвалидами вследствие увечья (ранения, травмы, контуз</w:t>
      </w:r>
      <w:r>
        <w:rPr>
          <w:rFonts w:ascii="Times New Roman" w:hAnsi="Times New Roman" w:cs="Times New Roman"/>
          <w:sz w:val="24"/>
          <w:szCs w:val="24"/>
        </w:rPr>
        <w:t xml:space="preserve">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</w:t>
      </w:r>
      <w:r>
        <w:rPr>
          <w:rFonts w:ascii="Times New Roman" w:hAnsi="Times New Roman" w:cs="Times New Roman"/>
          <w:sz w:val="24"/>
          <w:szCs w:val="24"/>
        </w:rPr>
        <w:t xml:space="preserve">й</w:t>
      </w:r>
      <w:r>
        <w:rPr>
          <w:rFonts w:ascii="Times New Roman" w:hAnsi="Times New Roman" w:cs="Times New Roman"/>
          <w:sz w:val="24"/>
          <w:szCs w:val="24"/>
        </w:rPr>
        <w:t xml:space="preserve">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членов их семей и ч</w:t>
      </w:r>
      <w:r>
        <w:rPr>
          <w:rFonts w:ascii="Times New Roman" w:hAnsi="Times New Roman" w:cs="Times New Roman"/>
          <w:sz w:val="24"/>
          <w:szCs w:val="24"/>
        </w:rPr>
        <w:t xml:space="preserve">ленов семей лиц, указанных в подпунктах </w:t>
      </w:r>
      <w:r>
        <w:rPr>
          <w:rFonts w:ascii="Times New Roman" w:hAnsi="Times New Roman" w:cs="Times New Roman"/>
          <w:sz w:val="24"/>
          <w:szCs w:val="24"/>
        </w:rPr>
        <w:t xml:space="preserve">«а»-«в»</w:t>
      </w:r>
      <w:r>
        <w:rPr>
          <w:rFonts w:ascii="Times New Roman" w:hAnsi="Times New Roman" w:cs="Times New Roman"/>
          <w:sz w:val="24"/>
          <w:szCs w:val="24"/>
        </w:rPr>
        <w:t xml:space="preserve"> пункта 1 Указа, погибших (умерших) в связи с участием в специальной военной операции, выполнением указанных задач,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бессрочно 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Финансирование расходов на предоставление дополнительной меры социальной поддержки, указанной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в пункте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1 настоящего решения,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осуществляется за счет средств бюджета города Мегиона.</w:t>
      </w:r>
      <w:r>
        <w:rPr>
          <w:highlight w:val="yellow"/>
        </w:rPr>
      </w:r>
      <w:r>
        <w:rPr>
          <w:highlight w:val="yellow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3.Условия и порядок предоставления дополнительной меры социальной поддержки для отдельной категории граждан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 указанной в пункте 1 настоящего решения,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утверждаются постановлением администрации города Мегиона.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4.Настоящее решение вступает в силу после его официального опубликования, но не ранее 01.01.2027.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47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Думы города Мегиона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города Мегиона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В.С.Заднепровская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г.Мегион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А.В.Петриченко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г.Мегион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0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«__»______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«__»______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836"/>
    <w:link w:val="835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4"/>
    <w:next w:val="834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36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4"/>
    <w:next w:val="834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36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4"/>
    <w:next w:val="834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36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36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36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36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4"/>
    <w:next w:val="834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36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4"/>
    <w:next w:val="834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36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679">
    <w:name w:val="No Spacing"/>
    <w:uiPriority w:val="1"/>
    <w:qFormat/>
    <w:pPr>
      <w:spacing w:before="0" w:after="0" w:line="240" w:lineRule="auto"/>
    </w:pPr>
  </w:style>
  <w:style w:type="character" w:styleId="680">
    <w:name w:val="Title Char"/>
    <w:basedOn w:val="836"/>
    <w:link w:val="843"/>
    <w:uiPriority w:val="10"/>
    <w:rPr>
      <w:sz w:val="48"/>
      <w:szCs w:val="48"/>
    </w:rPr>
  </w:style>
  <w:style w:type="paragraph" w:styleId="681">
    <w:name w:val="Subtitle"/>
    <w:basedOn w:val="834"/>
    <w:next w:val="834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4"/>
    <w:next w:val="834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4"/>
    <w:next w:val="834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4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4"/>
    <w:next w:val="834"/>
    <w:link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character" w:styleId="819">
    <w:name w:val="Footnote Text Char"/>
    <w:link w:val="840"/>
    <w:uiPriority w:val="99"/>
    <w:rPr>
      <w:sz w:val="18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6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paragraph" w:styleId="835">
    <w:name w:val="Heading 1"/>
    <w:basedOn w:val="834"/>
    <w:next w:val="834"/>
    <w:link w:val="845"/>
    <w:uiPriority w:val="99"/>
    <w:qFormat/>
    <w:pPr>
      <w:jc w:val="center"/>
      <w:spacing w:before="108" w:after="108" w:line="240" w:lineRule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List Paragraph"/>
    <w:basedOn w:val="834"/>
    <w:uiPriority w:val="34"/>
    <w:qFormat/>
    <w:pPr>
      <w:contextualSpacing/>
      <w:ind w:left="720"/>
    </w:pPr>
  </w:style>
  <w:style w:type="paragraph" w:styleId="840">
    <w:name w:val="footnote text"/>
    <w:basedOn w:val="834"/>
    <w:link w:val="84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41" w:customStyle="1">
    <w:name w:val="Текст сноски Знак"/>
    <w:basedOn w:val="836"/>
    <w:link w:val="840"/>
    <w:uiPriority w:val="99"/>
    <w:semiHidden/>
    <w:rPr>
      <w:sz w:val="20"/>
      <w:szCs w:val="20"/>
    </w:rPr>
  </w:style>
  <w:style w:type="character" w:styleId="842">
    <w:name w:val="footnote reference"/>
    <w:rPr>
      <w:vertAlign w:val="superscript"/>
    </w:rPr>
  </w:style>
  <w:style w:type="paragraph" w:styleId="843">
    <w:name w:val="Title"/>
    <w:basedOn w:val="834"/>
    <w:link w:val="844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844" w:customStyle="1">
    <w:name w:val="Заголовок Знак"/>
    <w:basedOn w:val="836"/>
    <w:link w:val="843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845" w:customStyle="1">
    <w:name w:val="Заголовок 1 Знак"/>
    <w:basedOn w:val="836"/>
    <w:link w:val="835"/>
    <w:uiPriority w:val="99"/>
    <w:rPr>
      <w:rFonts w:ascii="Arial" w:hAnsi="Arial" w:cs="Arial"/>
      <w:b/>
      <w:bCs/>
      <w:color w:val="26282f"/>
      <w:sz w:val="24"/>
      <w:szCs w:val="24"/>
    </w:rPr>
  </w:style>
  <w:style w:type="character" w:styleId="846" w:customStyle="1">
    <w:name w:val="Гипертекстовая ссылка"/>
    <w:basedOn w:val="836"/>
    <w:uiPriority w:val="99"/>
    <w:rPr>
      <w:color w:val="106bbe"/>
    </w:rPr>
  </w:style>
  <w:style w:type="table" w:styleId="847">
    <w:name w:val="Table Grid"/>
    <w:basedOn w:val="83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8">
    <w:name w:val="Balloon Text"/>
    <w:basedOn w:val="834"/>
    <w:link w:val="84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9" w:customStyle="1">
    <w:name w:val="Текст выноски Знак"/>
    <w:basedOn w:val="836"/>
    <w:link w:val="84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A60F9-9F71-4517-A127-37028A8E3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Администрация г.Мегион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Кабанченко Елена Игоревна</dc:creator>
  <cp:lastModifiedBy>MaksimovaVE</cp:lastModifiedBy>
  <cp:revision>60</cp:revision>
  <dcterms:created xsi:type="dcterms:W3CDTF">2015-02-02T07:11:00Z</dcterms:created>
  <dcterms:modified xsi:type="dcterms:W3CDTF">2026-09-22T04:12:48Z</dcterms:modified>
</cp:coreProperties>
</file>