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5"/>
        <w:jc w:val="left"/>
        <w:tabs>
          <w:tab w:val="left" w:pos="8070" w:leader="none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/>
          <w:szCs w:val="24"/>
        </w:rPr>
        <w:t xml:space="preserve">ПРОЕКТ</w: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</w:r>
    </w:p>
    <w:p>
      <w:pPr>
        <w:pStyle w:val="905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905"/>
        <w:rPr>
          <w:b/>
          <w:szCs w:val="24"/>
        </w:rPr>
      </w:pPr>
      <w:r>
        <w:rPr>
          <w:b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0995" cy="464185"/>
                <wp:effectExtent l="19050" t="0" r="1905" b="0"/>
                <wp:docPr id="1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340995" cy="4641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6.85pt;height:36.55pt;mso-wrap-distance-left:0.00pt;mso-wrap-distance-top:0.00pt;mso-wrap-distance-right:0.00pt;mso-wrap-distance-bottom:0.00pt;" stroked="f" strokeweight="0.75pt">
                <v:path textboxrect="0,0,0,0"/>
                <v:imagedata r:id="rId10" o:title=""/>
              </v:shape>
            </w:pict>
          </mc:Fallback>
        </mc:AlternateConten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905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ХАНТЫ – МАНСИЙСКИЙ АВТОНОМНЫЙ ОКРУГ - ЮГРА</w:t>
      </w:r>
      <w:r>
        <w:rPr>
          <w:rFonts w:ascii="Times New Roman" w:hAnsi="Times New Roman"/>
          <w:b/>
          <w:szCs w:val="24"/>
        </w:rPr>
      </w:r>
      <w:r>
        <w:rPr>
          <w:rFonts w:ascii="Times New Roman" w:hAnsi="Times New Roman"/>
          <w:b/>
          <w:szCs w:val="24"/>
        </w:rPr>
      </w:r>
    </w:p>
    <w:p>
      <w:pPr>
        <w:pStyle w:val="905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ТЮМЕНСКАЯ ОБЛАСТЬ</w:t>
      </w:r>
      <w:r>
        <w:rPr>
          <w:rFonts w:ascii="Times New Roman" w:hAnsi="Times New Roman"/>
          <w:b/>
          <w:szCs w:val="24"/>
        </w:rPr>
      </w:r>
      <w:r>
        <w:rPr>
          <w:rFonts w:ascii="Times New Roman" w:hAnsi="Times New Roman"/>
          <w:b/>
          <w:szCs w:val="24"/>
        </w:rPr>
      </w:r>
    </w:p>
    <w:p>
      <w:pPr>
        <w:pStyle w:val="905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ПРЕДСТАВИТЕЛЬНЫЙ ОРГАН МУНИЦИПАЛЬНОГО ОБРАЗОВАНИЯ</w:t>
      </w:r>
      <w:r>
        <w:rPr>
          <w:rFonts w:ascii="Times New Roman" w:hAnsi="Times New Roman"/>
          <w:b/>
          <w:szCs w:val="24"/>
        </w:rPr>
      </w:r>
      <w:r>
        <w:rPr>
          <w:rFonts w:ascii="Times New Roman" w:hAnsi="Times New Roman"/>
          <w:b/>
          <w:szCs w:val="24"/>
        </w:rPr>
      </w:r>
    </w:p>
    <w:p>
      <w:pPr>
        <w:pStyle w:val="90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ДУМА  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ГОРОДА </w:t>
      </w:r>
      <w:r>
        <w:rPr>
          <w:color w:val="auto"/>
          <w:sz w:val="28"/>
          <w:szCs w:val="28"/>
        </w:rPr>
        <w:t xml:space="preserve">  </w:t>
      </w:r>
      <w:r>
        <w:rPr>
          <w:color w:val="auto"/>
          <w:sz w:val="28"/>
          <w:szCs w:val="28"/>
        </w:rPr>
        <w:t xml:space="preserve">МЕГИОНА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907"/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</w:r>
      <w:r>
        <w:rPr>
          <w:color w:val="auto"/>
          <w:sz w:val="16"/>
          <w:szCs w:val="16"/>
        </w:rPr>
      </w:r>
      <w:r>
        <w:rPr>
          <w:color w:val="auto"/>
          <w:sz w:val="16"/>
          <w:szCs w:val="16"/>
        </w:rPr>
      </w:r>
    </w:p>
    <w:p>
      <w:pPr>
        <w:jc w:val="center"/>
        <w:keepNext/>
        <w:rPr>
          <w:b/>
          <w:sz w:val="28"/>
          <w:szCs w:val="28"/>
        </w:rPr>
        <w:outlineLvl w:val="1"/>
      </w:pPr>
      <w:r>
        <w:rPr>
          <w:b/>
          <w:sz w:val="28"/>
          <w:szCs w:val="28"/>
        </w:rPr>
        <w:t xml:space="preserve">РЕШЕНИЕ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keepNext/>
        <w:outlineLvl w:val="1"/>
      </w:pPr>
      <w:r/>
      <w:r/>
    </w:p>
    <w:p>
      <w:pPr>
        <w:rPr>
          <w:b/>
        </w:rPr>
      </w:pPr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«____</w:t>
      </w:r>
      <w:r>
        <w:rPr>
          <w:sz w:val="22"/>
          <w:szCs w:val="22"/>
        </w:rPr>
        <w:t xml:space="preserve">_»_</w:t>
      </w:r>
      <w:r>
        <w:rPr>
          <w:sz w:val="22"/>
          <w:szCs w:val="22"/>
        </w:rPr>
        <w:t xml:space="preserve">____________20___</w:t>
      </w:r>
      <w:r>
        <w:rPr>
          <w:sz w:val="22"/>
          <w:szCs w:val="22"/>
        </w:rPr>
        <w:t xml:space="preserve">года</w:t>
      </w:r>
      <w:r>
        <w:rPr>
          <w:sz w:val="22"/>
          <w:szCs w:val="22"/>
        </w:rPr>
        <w:t xml:space="preserve">                                                                                  №_______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968"/>
      </w:tblGrid>
      <w:tr>
        <w:tblPrEx/>
        <w:trPr>
          <w:trHeight w:val="107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8" w:type="dxa"/>
            <w:textDirection w:val="lrTb"/>
            <w:noWrap w:val="false"/>
          </w:tcPr>
          <w:p>
            <w:r/>
            <w:r/>
          </w:p>
          <w:p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 внесении изменени</w:t>
            </w:r>
            <w:r>
              <w:rPr>
                <w:rFonts w:eastAsia="Calibri"/>
                <w:lang w:eastAsia="en-US"/>
              </w:rPr>
              <w:t xml:space="preserve">й</w:t>
            </w:r>
            <w:r>
              <w:rPr>
                <w:rFonts w:eastAsia="Calibri"/>
                <w:lang w:eastAsia="en-US"/>
              </w:rPr>
              <w:t xml:space="preserve"> в решение Думы города</w:t>
            </w:r>
            <w:r>
              <w:rPr>
                <w:rFonts w:eastAsia="Calibri"/>
                <w:lang w:eastAsia="en-US"/>
              </w:rPr>
              <w:t xml:space="preserve">   </w:t>
            </w:r>
            <w:r>
              <w:rPr>
                <w:rFonts w:eastAsia="Calibri"/>
                <w:lang w:eastAsia="en-US"/>
              </w:rPr>
              <w:t xml:space="preserve">Мегиона</w:t>
            </w:r>
            <w:r>
              <w:rPr>
                <w:rFonts w:eastAsia="Calibri"/>
                <w:lang w:eastAsia="en-US"/>
              </w:rPr>
              <w:t xml:space="preserve">  </w:t>
            </w:r>
            <w:r>
              <w:rPr>
                <w:rFonts w:eastAsia="Calibri"/>
                <w:lang w:eastAsia="en-US"/>
              </w:rPr>
              <w:t xml:space="preserve"> от 25.03.2011 </w:t>
            </w:r>
            <w:r>
              <w:rPr>
                <w:rFonts w:eastAsia="Calibri"/>
                <w:lang w:eastAsia="en-US"/>
              </w:rPr>
              <w:t xml:space="preserve">№</w:t>
            </w:r>
            <w:r>
              <w:rPr>
                <w:rFonts w:eastAsia="Calibri"/>
                <w:lang w:eastAsia="en-US"/>
              </w:rPr>
              <w:t xml:space="preserve">133 </w:t>
            </w:r>
            <w:r>
              <w:rPr>
                <w:rFonts w:eastAsia="Calibri"/>
                <w:lang w:eastAsia="en-US"/>
              </w:rPr>
              <w:t xml:space="preserve">«</w:t>
            </w:r>
            <w:r>
              <w:rPr>
                <w:rFonts w:eastAsia="Calibri"/>
                <w:lang w:eastAsia="en-US"/>
              </w:rPr>
              <w:t xml:space="preserve">О Порядке управления и распоряжения имуществом, находящимся в муниципальной собственности город</w:t>
            </w:r>
            <w:r>
              <w:rPr>
                <w:rFonts w:eastAsia="Calibri"/>
                <w:lang w:eastAsia="en-US"/>
              </w:rPr>
              <w:t xml:space="preserve">а</w:t>
            </w:r>
            <w:r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Мегион</w:t>
            </w:r>
            <w:r>
              <w:rPr>
                <w:rFonts w:eastAsia="Calibri"/>
                <w:lang w:eastAsia="en-US"/>
              </w:rPr>
              <w:t xml:space="preserve">а</w:t>
            </w:r>
            <w:r>
              <w:rPr>
                <w:rFonts w:eastAsia="Calibri"/>
                <w:lang w:eastAsia="en-US"/>
              </w:rPr>
              <w:t xml:space="preserve">»</w:t>
            </w:r>
            <w:r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(с</w:t>
            </w:r>
            <w:r>
              <w:rPr>
                <w:rFonts w:eastAsia="Calibri"/>
                <w:lang w:eastAsia="en-US"/>
              </w:rPr>
              <w:t xml:space="preserve"> изменениями)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</w:tbl>
    <w:p>
      <w:pPr>
        <w:jc w:val="both"/>
        <w:tabs>
          <w:tab w:val="left" w:pos="567" w:leader="none"/>
        </w:tabs>
        <w:rPr>
          <w:rFonts w:eastAsia="Calibri"/>
          <w:lang w:eastAsia="en-US"/>
        </w:rPr>
      </w:pPr>
      <w:r>
        <w:t xml:space="preserve">         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both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Calibri"/>
          <w:lang w:eastAsia="en-US"/>
        </w:rPr>
        <w:tab/>
        <w:t xml:space="preserve">Рассмотрев проект решения Думы города Мегиона </w:t>
      </w:r>
      <w:r>
        <w:rPr>
          <w:rFonts w:eastAsia="Calibri"/>
          <w:lang w:eastAsia="en-US"/>
        </w:rPr>
        <w:t xml:space="preserve">«</w:t>
      </w:r>
      <w:r>
        <w:rPr>
          <w:rFonts w:eastAsia="Calibri"/>
          <w:lang w:eastAsia="en-US"/>
        </w:rPr>
        <w:t xml:space="preserve">О внесении изменени</w:t>
      </w:r>
      <w:r>
        <w:rPr>
          <w:rFonts w:eastAsia="Calibri"/>
          <w:lang w:eastAsia="en-US"/>
        </w:rPr>
        <w:t xml:space="preserve">й</w:t>
      </w:r>
      <w:r>
        <w:rPr>
          <w:rFonts w:eastAsia="Calibri"/>
          <w:lang w:eastAsia="en-US"/>
        </w:rPr>
        <w:t xml:space="preserve"> в решение Думы города Мегиона от 25.03.2011 </w:t>
      </w:r>
      <w:r>
        <w:rPr>
          <w:rFonts w:eastAsia="Calibri"/>
          <w:lang w:eastAsia="en-US"/>
        </w:rPr>
        <w:t xml:space="preserve">№</w:t>
      </w:r>
      <w:r>
        <w:rPr>
          <w:rFonts w:eastAsia="Calibri"/>
          <w:lang w:eastAsia="en-US"/>
        </w:rPr>
        <w:t xml:space="preserve">133 </w:t>
      </w:r>
      <w:r>
        <w:rPr>
          <w:rFonts w:eastAsia="Calibri"/>
          <w:lang w:eastAsia="en-US"/>
        </w:rPr>
        <w:t xml:space="preserve">«</w:t>
      </w:r>
      <w:r>
        <w:rPr>
          <w:rFonts w:eastAsia="Calibri"/>
          <w:lang w:eastAsia="en-US"/>
        </w:rPr>
        <w:t xml:space="preserve">О Порядке управления и распоряжения имуществом, находящимся в муниципальной собственности город</w:t>
      </w:r>
      <w:r>
        <w:rPr>
          <w:rFonts w:eastAsia="Calibri"/>
          <w:lang w:eastAsia="en-US"/>
        </w:rPr>
        <w:t xml:space="preserve">а</w:t>
      </w:r>
      <w:r>
        <w:rPr>
          <w:rFonts w:eastAsia="Calibri"/>
          <w:lang w:eastAsia="en-US"/>
        </w:rPr>
        <w:t xml:space="preserve"> Мегион</w:t>
      </w:r>
      <w:r>
        <w:rPr>
          <w:rFonts w:eastAsia="Calibri"/>
          <w:lang w:eastAsia="en-US"/>
        </w:rPr>
        <w:t xml:space="preserve">а</w:t>
      </w:r>
      <w:r>
        <w:rPr>
          <w:rFonts w:eastAsia="Calibri"/>
          <w:lang w:eastAsia="en-US"/>
        </w:rPr>
        <w:t xml:space="preserve">»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                                 </w:t>
      </w:r>
      <w:r>
        <w:rPr>
          <w:rFonts w:eastAsia="Calibri"/>
          <w:lang w:eastAsia="en-US"/>
        </w:rPr>
        <w:t xml:space="preserve">(с изменениями), </w:t>
      </w:r>
      <w:r>
        <w:rPr>
          <w:rFonts w:eastAsia="Calibri"/>
          <w:lang w:eastAsia="en-US"/>
        </w:rPr>
        <w:t xml:space="preserve">в соответствии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статьями 63, 64 Федерального закона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от 20.03.2025 №33-ФЗ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Постановлением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Правительства Российской Федерации от 28.01.2006 №47 «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</w:t>
      </w:r>
      <w:r>
        <w:t xml:space="preserve">,</w:t>
      </w:r>
      <w:r>
        <w:t xml:space="preserve"> </w:t>
      </w:r>
      <w:r>
        <w:rPr>
          <w:rFonts w:eastAsia="Calibri"/>
          <w:lang w:eastAsia="en-US"/>
        </w:rPr>
        <w:t xml:space="preserve">руководствуясь </w:t>
      </w:r>
      <w:hyperlink r:id="rId11" w:tooltip="consultantplus://offline/ref=9EFBF6E89202F534A2B8F403A4D2A0018F4C99AC30EDC14CDB07CDD30B93B323925454B9D7B7D3C53F346510DBq3E" w:history="1">
        <w:r>
          <w:rPr>
            <w:rFonts w:eastAsia="Calibri"/>
            <w:lang w:eastAsia="en-US"/>
          </w:rPr>
          <w:t xml:space="preserve">статьями 19</w:t>
        </w:r>
      </w:hyperlink>
      <w:r>
        <w:rPr>
          <w:rFonts w:eastAsia="Calibri"/>
          <w:lang w:eastAsia="en-US"/>
        </w:rPr>
        <w:t xml:space="preserve">, </w:t>
      </w:r>
      <w:hyperlink r:id="rId12" w:tooltip="consultantplus://offline/ref=9EFBF6E89202F534A2B8F403A4D2A0018F4C99AC30EDC14CDB07CDD30B93B323925454B9D7B7D3C53F346216DBq8E" w:history="1">
        <w:r>
          <w:rPr>
            <w:rFonts w:eastAsia="Calibri"/>
            <w:lang w:eastAsia="en-US"/>
          </w:rPr>
          <w:t xml:space="preserve">48</w:t>
        </w:r>
      </w:hyperlink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у</w:t>
      </w:r>
      <w:r>
        <w:rPr>
          <w:rFonts w:eastAsia="Calibri"/>
          <w:lang w:eastAsia="en-US"/>
        </w:rPr>
        <w:t xml:space="preserve">става горо</w:t>
      </w:r>
      <w:r>
        <w:rPr>
          <w:rFonts w:eastAsia="Calibri"/>
          <w:lang w:eastAsia="en-US"/>
        </w:rPr>
        <w:t xml:space="preserve">да Мегиона, </w:t>
      </w:r>
      <w:r>
        <w:rPr>
          <w:rFonts w:eastAsia="Calibri"/>
          <w:lang w:eastAsia="en-US"/>
        </w:rPr>
        <w:t xml:space="preserve">Дума города Мегиона: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</w:pPr>
      <w:r/>
      <w:r/>
    </w:p>
    <w:p>
      <w:pPr>
        <w:jc w:val="center"/>
      </w:pPr>
      <w:r>
        <w:t xml:space="preserve">РЕШИЛА:</w:t>
      </w:r>
      <w:r/>
    </w:p>
    <w:p>
      <w:pPr>
        <w:jc w:val="center"/>
      </w:pPr>
      <w:r/>
      <w:r/>
    </w:p>
    <w:p>
      <w:pPr>
        <w:ind w:left="0" w:right="0" w:firstLine="709"/>
        <w:jc w:val="both"/>
        <w:rPr>
          <w:highlight w:val="none"/>
        </w:rPr>
      </w:pPr>
      <w:r>
        <w:rPr>
          <w:rFonts w:eastAsia="Calibri"/>
          <w:lang w:eastAsia="en-US"/>
        </w:rPr>
        <w:t xml:space="preserve">1. Внести в </w:t>
      </w:r>
      <w:hyperlink r:id="rId13" w:tooltip="consultantplus://offline/ref=9EFBF6E89202F534A2B8F403A4D2A0018F4C99AC30EEC348D803CDD30B93B32392D5q4E" w:history="1">
        <w:r>
          <w:rPr>
            <w:rFonts w:eastAsia="Calibri"/>
            <w:lang w:eastAsia="en-US"/>
          </w:rPr>
          <w:t xml:space="preserve">решение</w:t>
        </w:r>
      </w:hyperlink>
      <w:r>
        <w:rPr>
          <w:rFonts w:eastAsia="Calibri"/>
          <w:lang w:eastAsia="en-US"/>
        </w:rPr>
        <w:t xml:space="preserve"> Думы города Мегиона от 25.03.2011 </w:t>
      </w:r>
      <w:r>
        <w:rPr>
          <w:rFonts w:eastAsia="Calibri"/>
          <w:lang w:eastAsia="en-US"/>
        </w:rPr>
        <w:t xml:space="preserve">№</w:t>
      </w:r>
      <w:r>
        <w:rPr>
          <w:rFonts w:eastAsia="Calibri"/>
          <w:lang w:eastAsia="en-US"/>
        </w:rPr>
        <w:t xml:space="preserve">133 </w:t>
      </w:r>
      <w:r>
        <w:rPr>
          <w:rFonts w:eastAsia="Calibri"/>
          <w:lang w:eastAsia="en-US"/>
        </w:rPr>
        <w:t xml:space="preserve">«</w:t>
      </w:r>
      <w:r>
        <w:rPr>
          <w:rFonts w:eastAsia="Calibri"/>
          <w:lang w:eastAsia="en-US"/>
        </w:rPr>
        <w:t xml:space="preserve">О </w:t>
      </w:r>
      <w:r>
        <w:rPr>
          <w:rFonts w:eastAsia="Calibri"/>
          <w:lang w:eastAsia="en-US"/>
        </w:rPr>
        <w:t xml:space="preserve">П</w:t>
      </w:r>
      <w:r>
        <w:rPr>
          <w:rFonts w:eastAsia="Calibri"/>
          <w:lang w:eastAsia="en-US"/>
        </w:rPr>
        <w:t xml:space="preserve">орядке управления и распоряжения имуществом, находящимся в муниципальной собственности </w:t>
      </w:r>
      <w:r>
        <w:rPr>
          <w:rFonts w:eastAsia="Calibri"/>
          <w:lang w:eastAsia="en-US"/>
        </w:rPr>
        <w:t xml:space="preserve">город</w:t>
      </w:r>
      <w:r>
        <w:rPr>
          <w:rFonts w:eastAsia="Calibri"/>
          <w:lang w:eastAsia="en-US"/>
        </w:rPr>
        <w:t xml:space="preserve">а</w:t>
      </w:r>
      <w:r>
        <w:rPr>
          <w:rFonts w:eastAsia="Calibri"/>
          <w:lang w:eastAsia="en-US"/>
        </w:rPr>
        <w:t xml:space="preserve"> Мегион</w:t>
      </w:r>
      <w:r>
        <w:rPr>
          <w:rFonts w:eastAsia="Calibri"/>
          <w:lang w:eastAsia="en-US"/>
        </w:rPr>
        <w:t xml:space="preserve">а</w:t>
      </w:r>
      <w:r>
        <w:rPr>
          <w:rFonts w:eastAsia="Calibri"/>
          <w:lang w:eastAsia="en-US"/>
        </w:rPr>
        <w:t xml:space="preserve">»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(с изменениями)</w:t>
      </w:r>
      <w:r>
        <w:t xml:space="preserve"> следующие изменени</w:t>
      </w:r>
      <w:r>
        <w:t xml:space="preserve">я</w:t>
      </w:r>
      <w:r>
        <w:t xml:space="preserve">:</w:t>
      </w:r>
      <w:r>
        <w:rPr>
          <w:highlight w:val="none"/>
        </w:rPr>
      </w:r>
      <w:r>
        <w:rPr>
          <w:highlight w:val="none"/>
        </w:rPr>
      </w:r>
      <w:r>
        <w:rPr>
          <w:rFonts w:eastAsia="Calibri"/>
          <w:highlight w:val="none"/>
          <w:lang w:eastAsia="en-US"/>
        </w:rPr>
      </w:r>
      <w:r>
        <w:rPr>
          <w:rFonts w:eastAsia="Calibri"/>
          <w:highlight w:val="none"/>
          <w:lang w:eastAsia="en-US"/>
        </w:rPr>
      </w:r>
      <w:r>
        <w:rPr>
          <w:highlight w:val="none"/>
        </w:rPr>
      </w:r>
      <w:r>
        <w:rPr>
          <w:highlight w:val="none"/>
        </w:rPr>
      </w:r>
    </w:p>
    <w:p>
      <w:pPr>
        <w:contextualSpacing/>
        <w:ind w:left="0" w:right="0" w:firstLine="675"/>
        <w:jc w:val="both"/>
        <w:spacing w:line="232" w:lineRule="atLeast"/>
        <w:tabs>
          <w:tab w:val="left" w:pos="850" w:leader="none"/>
        </w:tabs>
        <w:rPr>
          <w:rFonts w:eastAsia="Calibri"/>
          <w:highlight w:val="none"/>
          <w:lang w:eastAsia="en-US"/>
        </w:rPr>
        <w:suppressLineNumbers w:val="0"/>
      </w:pPr>
      <w:r>
        <w:rPr>
          <w:highlight w:val="none"/>
        </w:rPr>
        <w:t xml:space="preserve">1) в пункте 3 статьи 4 Порядка слова</w:t>
      </w:r>
      <w:r>
        <w:rPr>
          <w:rFonts w:eastAsia="Calibri"/>
          <w:highlight w:val="none"/>
          <w:lang w:eastAsia="en-US"/>
        </w:rPr>
        <w:t xml:space="preserve"> «муниципальной собственности» заменить словами «муниципального имущества»;</w:t>
      </w:r>
      <w:r>
        <w:rPr>
          <w:rFonts w:eastAsia="Calibri"/>
          <w:highlight w:val="none"/>
          <w:lang w:eastAsia="en-US"/>
        </w:rPr>
      </w:r>
      <w:r>
        <w:rPr>
          <w:rFonts w:eastAsia="Calibri"/>
          <w:highlight w:val="none"/>
          <w:lang w:eastAsia="en-US"/>
        </w:rPr>
      </w:r>
    </w:p>
    <w:p>
      <w:pPr>
        <w:ind w:left="0" w:right="0" w:firstLine="709"/>
        <w:jc w:val="both"/>
        <w:tabs>
          <w:tab w:val="left" w:pos="850" w:leader="none"/>
        </w:tabs>
        <w:rPr>
          <w:highlight w:val="none"/>
        </w:rPr>
      </w:pPr>
      <w:r>
        <w:rPr>
          <w:highlight w:val="none"/>
        </w:rPr>
        <w:t xml:space="preserve">2) в абзаце третьем пункта 4 статьи 10 Порядка слова</w:t>
      </w:r>
      <w:r>
        <w:rPr>
          <w:rFonts w:eastAsia="Calibri"/>
          <w:highlight w:val="none"/>
          <w:lang w:eastAsia="en-US"/>
        </w:rPr>
        <w:t xml:space="preserve"> «муниципальной собственности» заменить словами «муниципального имущества»;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709"/>
        <w:jc w:val="both"/>
        <w:rPr>
          <w:highlight w:val="none"/>
        </w:rPr>
      </w:pPr>
      <w:r>
        <w:rPr>
          <w:highlight w:val="none"/>
        </w:rPr>
        <w:t xml:space="preserve">3) в пунктах 1, 2 статьи 12 Порядка </w:t>
      </w:r>
      <w:r>
        <w:rPr>
          <w:highlight w:val="none"/>
        </w:rPr>
        <w:t xml:space="preserve">слова</w:t>
      </w:r>
      <w:r>
        <w:rPr>
          <w:rFonts w:eastAsia="Calibri"/>
          <w:highlight w:val="none"/>
          <w:lang w:eastAsia="en-US"/>
        </w:rPr>
        <w:t xml:space="preserve"> «муниципальной собственности» заменить словами «муниципального имущества»;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709"/>
        <w:jc w:val="both"/>
        <w:rPr>
          <w:highlight w:val="none"/>
        </w:rPr>
      </w:pPr>
      <w:r>
        <w:rPr>
          <w:highlight w:val="none"/>
        </w:rPr>
        <w:t xml:space="preserve">4) в</w:t>
      </w:r>
      <w:r>
        <w:rPr>
          <w:highlight w:val="none"/>
        </w:rPr>
        <w:t xml:space="preserve"> пункте 4 статьи 21 Порядка слова</w:t>
      </w:r>
      <w:r>
        <w:rPr>
          <w:rFonts w:eastAsia="Calibri"/>
          <w:highlight w:val="none"/>
          <w:lang w:eastAsia="en-US"/>
        </w:rPr>
        <w:t xml:space="preserve"> «муниципальной собственности» заменить словами «муниципального имущества»;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709"/>
        <w:jc w:val="both"/>
        <w:rPr>
          <w:rFonts w:eastAsia="Calibri"/>
          <w:highlight w:val="none"/>
          <w:lang w:eastAsia="en-US"/>
        </w:rPr>
      </w:pPr>
      <w:r>
        <w:rPr>
          <w:rFonts w:eastAsia="Calibri"/>
          <w:highlight w:val="none"/>
          <w:lang w:eastAsia="en-US"/>
        </w:rPr>
        <w:t xml:space="preserve">5) статью 24 </w:t>
      </w:r>
      <w:r>
        <w:rPr>
          <w:rFonts w:eastAsia="Calibri"/>
          <w:lang w:eastAsia="en-US"/>
        </w:rPr>
        <w:t xml:space="preserve">Порядка дополнить пунктом 4 следующего содержания:</w:t>
      </w:r>
      <w:r>
        <w:rPr>
          <w:rFonts w:eastAsia="Calibri"/>
          <w:highlight w:val="none"/>
          <w:lang w:eastAsia="en-US"/>
        </w:rPr>
      </w:r>
      <w:r>
        <w:rPr>
          <w:rFonts w:eastAsia="Calibri"/>
          <w:highlight w:val="none"/>
          <w:lang w:eastAsia="en-US"/>
        </w:rPr>
      </w:r>
    </w:p>
    <w:p>
      <w:pPr>
        <w:ind w:left="0" w:right="0" w:firstLine="709"/>
        <w:jc w:val="both"/>
        <w:rPr>
          <w:rFonts w:eastAsia="Calibri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«4. 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en-US"/>
        </w:rPr>
        <w:t xml:space="preserve">Жилые помещения муниципального жилищно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en-US"/>
        </w:rPr>
        <w:t xml:space="preserve">го фонда, признанные в установленном порядке непригодными для проживания (за исключением жилых помещений, расположенных в многоквартирных домах признанных аварийными,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en-US"/>
        </w:rPr>
        <w:t xml:space="preserve"> подлежащих сносу или реконструкции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en-US"/>
        </w:rPr>
        <w:t xml:space="preserve">)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en-US"/>
        </w:rPr>
        <w:t xml:space="preserve">отчуждаются администрацией города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en-US"/>
        </w:rPr>
        <w:t xml:space="preserve">в собственность физических и юридических лиц в порядке, утвержденном решением Думы города,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en-US"/>
        </w:rPr>
        <w:t xml:space="preserve"> путем проведения  торгов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en-US"/>
        </w:rPr>
        <w:t xml:space="preserve">.». </w:t>
      </w:r>
      <w:r>
        <w:rPr>
          <w:rFonts w:eastAsia="Calibri"/>
          <w:highlight w:val="none"/>
          <w:lang w:eastAsia="en-US"/>
        </w:rPr>
      </w:r>
      <w:r>
        <w:rPr>
          <w:rFonts w:eastAsia="Calibri"/>
          <w:highlight w:val="none"/>
          <w:lang w:eastAsia="en-US"/>
        </w:rPr>
      </w:r>
    </w:p>
    <w:p>
      <w:pPr>
        <w:jc w:val="both"/>
      </w:pPr>
      <w:r>
        <w:t xml:space="preserve">    </w:t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t xml:space="preserve">     2. Настоящее решение вступает в силу после</w:t>
      </w:r>
      <w:r>
        <w:t xml:space="preserve"> </w:t>
      </w:r>
      <w:r>
        <w:t xml:space="preserve">его официально</w:t>
      </w:r>
      <w:r>
        <w:t xml:space="preserve">го</w:t>
      </w:r>
      <w:r>
        <w:t xml:space="preserve"> опубликовани</w:t>
      </w:r>
      <w:r>
        <w:t xml:space="preserve">я</w:t>
      </w:r>
      <w:r>
        <w:t xml:space="preserve">.</w:t>
      </w:r>
      <w:r>
        <w:rPr>
          <w:highlight w:val="none"/>
        </w:rPr>
      </w:r>
      <w:r/>
    </w:p>
    <w:p>
      <w:pPr>
        <w:jc w:val="both"/>
      </w:pPr>
      <w:r/>
      <w:r/>
    </w:p>
    <w:p>
      <w:pPr>
        <w:jc w:val="both"/>
      </w:pPr>
      <w:r>
        <w:rPr>
          <w:highlight w:val="none"/>
        </w:rPr>
      </w:r>
      <w:r>
        <w:rPr>
          <w:highlight w:val="none"/>
        </w:rPr>
      </w:r>
      <w:r/>
    </w:p>
    <w:p>
      <w:pPr>
        <w:jc w:val="both"/>
      </w:pPr>
      <w:r/>
      <w:r/>
    </w:p>
    <w:tbl>
      <w:tblPr>
        <w:tblW w:w="9555" w:type="dxa"/>
        <w:tblInd w:w="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545"/>
        <w:gridCol w:w="5010"/>
      </w:tblGrid>
      <w:tr>
        <w:tblPrEx/>
        <w:trPr>
          <w:trHeight w:val="1590"/>
        </w:trPr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4545" w:type="dxa"/>
            <w:textDirection w:val="lrTb"/>
            <w:noWrap w:val="false"/>
          </w:tcPr>
          <w:p>
            <w:pPr>
              <w:jc w:val="both"/>
            </w:pPr>
            <w:r>
              <w:t xml:space="preserve">Пр</w:t>
            </w:r>
            <w:r>
              <w:t xml:space="preserve">едседатель Думы </w:t>
            </w:r>
            <w:r>
              <w:t xml:space="preserve">города Мегиона</w:t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                       </w:t>
            </w:r>
            <w:r/>
          </w:p>
          <w:p>
            <w:pPr>
              <w:jc w:val="both"/>
              <w:rPr>
                <w:highlight w:val="none"/>
              </w:rPr>
            </w:pPr>
            <w:r>
              <w:t xml:space="preserve">_______________ В.С.Заднепровская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        </w:t>
            </w:r>
            <w:r>
              <w:tab/>
            </w:r>
            <w:r>
              <w:tab/>
            </w:r>
            <w:r>
              <w:tab/>
            </w:r>
            <w:r>
              <w:t xml:space="preserve">         г.Мегион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</w:pPr>
            <w:r>
              <w:t xml:space="preserve">«____</w:t>
            </w:r>
            <w:r>
              <w:t xml:space="preserve">_»_</w:t>
            </w:r>
            <w:r>
              <w:t xml:space="preserve">__________________20</w:t>
            </w:r>
            <w:r>
              <w:t xml:space="preserve">2</w:t>
            </w:r>
            <w:r>
              <w:t xml:space="preserve">6</w:t>
            </w:r>
            <w:r/>
          </w:p>
          <w:p>
            <w:pPr>
              <w:jc w:val="both"/>
              <w:rPr>
                <w:highlight w:val="none"/>
              </w:rPr>
            </w:pPr>
            <w:r>
              <w:t xml:space="preserve">   </w:t>
            </w:r>
            <w:r>
              <w:t xml:space="preserve">       </w:t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                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5010" w:type="dxa"/>
            <w:textDirection w:val="lrTb"/>
            <w:noWrap w:val="false"/>
          </w:tcPr>
          <w:p>
            <w:pPr>
              <w:jc w:val="both"/>
            </w:pPr>
            <w:r>
              <w:t xml:space="preserve">    </w:t>
            </w:r>
            <w:r>
              <w:t xml:space="preserve">        </w:t>
            </w:r>
            <w:r>
              <w:t xml:space="preserve">Глава города Мегиона</w:t>
            </w:r>
            <w:r/>
          </w:p>
          <w:p>
            <w:pPr>
              <w:jc w:val="both"/>
            </w:pPr>
            <w:r>
              <w:t xml:space="preserve">    </w:t>
            </w:r>
            <w:r>
              <w:t xml:space="preserve">             </w:t>
            </w:r>
            <w:r/>
          </w:p>
          <w:p>
            <w:pPr>
              <w:jc w:val="both"/>
            </w:pPr>
            <w:r>
              <w:t xml:space="preserve">     </w:t>
            </w:r>
            <w:r>
              <w:t xml:space="preserve">       __________________</w:t>
            </w:r>
            <w:r>
              <w:t xml:space="preserve">А.В.Петриченко</w:t>
            </w:r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t xml:space="preserve">    </w:t>
            </w:r>
            <w:r>
              <w:t xml:space="preserve">        </w:t>
            </w:r>
            <w:r>
              <w:t xml:space="preserve">г</w:t>
            </w:r>
            <w:r>
              <w:t xml:space="preserve">.Мегион</w:t>
            </w:r>
            <w:r/>
          </w:p>
          <w:p>
            <w:pPr>
              <w:jc w:val="both"/>
            </w:pPr>
            <w:r>
              <w:t xml:space="preserve">    </w:t>
            </w:r>
            <w:r>
              <w:t xml:space="preserve">        </w:t>
            </w:r>
            <w:r>
              <w:t xml:space="preserve">«_____»________________202</w:t>
            </w:r>
            <w:r>
              <w:t xml:space="preserve">6</w:t>
            </w:r>
            <w:r/>
          </w:p>
        </w:tc>
      </w:tr>
    </w:tbl>
    <w:p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</w:t>
      </w:r>
      <w:r>
        <w:tab/>
      </w:r>
      <w:r/>
    </w:p>
    <w:sectPr>
      <w:headerReference w:type="default" r:id="rId9"/>
      <w:footnotePr/>
      <w:endnotePr/>
      <w:type w:val="nextPage"/>
      <w:pgSz w:w="11906" w:h="16838" w:orient="portrait"/>
      <w:pgMar w:top="426" w:right="567" w:bottom="1105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Garamond">
    <w:panose1 w:val="02020404030301010803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1"/>
      <w:jc w:val="right"/>
    </w:pPr>
    <w:fldSimple w:instr="PAGE \* MERGEFORMAT">
      <w:r>
        <w:t xml:space="preserve">1</w:t>
      </w:r>
    </w:fldSimple>
    <w:r/>
    <w:r/>
  </w:p>
  <w:p>
    <w:pPr>
      <w:pStyle w:val="91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2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6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6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6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9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55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9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8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0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2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4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6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8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0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2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43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6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6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9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55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6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9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8">
    <w:name w:val="Heading 1"/>
    <w:basedOn w:val="901"/>
    <w:next w:val="901"/>
    <w:link w:val="72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9">
    <w:name w:val="Heading 1 Char"/>
    <w:basedOn w:val="902"/>
    <w:link w:val="728"/>
    <w:uiPriority w:val="9"/>
    <w:rPr>
      <w:rFonts w:ascii="Arial" w:hAnsi="Arial" w:eastAsia="Arial" w:cs="Arial"/>
      <w:sz w:val="40"/>
      <w:szCs w:val="40"/>
    </w:rPr>
  </w:style>
  <w:style w:type="paragraph" w:styleId="730">
    <w:name w:val="Heading 2"/>
    <w:basedOn w:val="901"/>
    <w:next w:val="901"/>
    <w:link w:val="73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31">
    <w:name w:val="Heading 2 Char"/>
    <w:basedOn w:val="902"/>
    <w:link w:val="730"/>
    <w:uiPriority w:val="9"/>
    <w:rPr>
      <w:rFonts w:ascii="Arial" w:hAnsi="Arial" w:eastAsia="Arial" w:cs="Arial"/>
      <w:sz w:val="34"/>
    </w:rPr>
  </w:style>
  <w:style w:type="paragraph" w:styleId="732">
    <w:name w:val="Heading 3"/>
    <w:basedOn w:val="901"/>
    <w:next w:val="901"/>
    <w:link w:val="73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3">
    <w:name w:val="Heading 3 Char"/>
    <w:basedOn w:val="902"/>
    <w:link w:val="732"/>
    <w:uiPriority w:val="9"/>
    <w:rPr>
      <w:rFonts w:ascii="Arial" w:hAnsi="Arial" w:eastAsia="Arial" w:cs="Arial"/>
      <w:sz w:val="30"/>
      <w:szCs w:val="30"/>
    </w:rPr>
  </w:style>
  <w:style w:type="paragraph" w:styleId="734">
    <w:name w:val="Heading 4"/>
    <w:basedOn w:val="901"/>
    <w:next w:val="901"/>
    <w:link w:val="73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5">
    <w:name w:val="Heading 4 Char"/>
    <w:basedOn w:val="902"/>
    <w:link w:val="734"/>
    <w:uiPriority w:val="9"/>
    <w:rPr>
      <w:rFonts w:ascii="Arial" w:hAnsi="Arial" w:eastAsia="Arial" w:cs="Arial"/>
      <w:b/>
      <w:bCs/>
      <w:sz w:val="26"/>
      <w:szCs w:val="26"/>
    </w:rPr>
  </w:style>
  <w:style w:type="paragraph" w:styleId="736">
    <w:name w:val="Heading 5"/>
    <w:basedOn w:val="901"/>
    <w:next w:val="901"/>
    <w:link w:val="73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7">
    <w:name w:val="Heading 5 Char"/>
    <w:basedOn w:val="902"/>
    <w:link w:val="736"/>
    <w:uiPriority w:val="9"/>
    <w:rPr>
      <w:rFonts w:ascii="Arial" w:hAnsi="Arial" w:eastAsia="Arial" w:cs="Arial"/>
      <w:b/>
      <w:bCs/>
      <w:sz w:val="24"/>
      <w:szCs w:val="24"/>
    </w:rPr>
  </w:style>
  <w:style w:type="paragraph" w:styleId="738">
    <w:name w:val="Heading 6"/>
    <w:basedOn w:val="901"/>
    <w:next w:val="901"/>
    <w:link w:val="73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9">
    <w:name w:val="Heading 6 Char"/>
    <w:basedOn w:val="902"/>
    <w:link w:val="738"/>
    <w:uiPriority w:val="9"/>
    <w:rPr>
      <w:rFonts w:ascii="Arial" w:hAnsi="Arial" w:eastAsia="Arial" w:cs="Arial"/>
      <w:b/>
      <w:bCs/>
      <w:sz w:val="22"/>
      <w:szCs w:val="22"/>
    </w:rPr>
  </w:style>
  <w:style w:type="paragraph" w:styleId="740">
    <w:name w:val="Heading 7"/>
    <w:basedOn w:val="901"/>
    <w:next w:val="901"/>
    <w:link w:val="74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1">
    <w:name w:val="Heading 7 Char"/>
    <w:basedOn w:val="902"/>
    <w:link w:val="74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2">
    <w:name w:val="Heading 8"/>
    <w:basedOn w:val="901"/>
    <w:next w:val="901"/>
    <w:link w:val="74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3">
    <w:name w:val="Heading 8 Char"/>
    <w:basedOn w:val="902"/>
    <w:link w:val="742"/>
    <w:uiPriority w:val="9"/>
    <w:rPr>
      <w:rFonts w:ascii="Arial" w:hAnsi="Arial" w:eastAsia="Arial" w:cs="Arial"/>
      <w:i/>
      <w:iCs/>
      <w:sz w:val="22"/>
      <w:szCs w:val="22"/>
    </w:rPr>
  </w:style>
  <w:style w:type="paragraph" w:styleId="744">
    <w:name w:val="Heading 9"/>
    <w:basedOn w:val="901"/>
    <w:next w:val="901"/>
    <w:link w:val="74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5">
    <w:name w:val="Heading 9 Char"/>
    <w:basedOn w:val="902"/>
    <w:link w:val="744"/>
    <w:uiPriority w:val="9"/>
    <w:rPr>
      <w:rFonts w:ascii="Arial" w:hAnsi="Arial" w:eastAsia="Arial" w:cs="Arial"/>
      <w:i/>
      <w:iCs/>
      <w:sz w:val="21"/>
      <w:szCs w:val="21"/>
    </w:rPr>
  </w:style>
  <w:style w:type="paragraph" w:styleId="746">
    <w:name w:val="No Spacing"/>
    <w:uiPriority w:val="1"/>
    <w:qFormat/>
    <w:pPr>
      <w:spacing w:before="0" w:after="0" w:line="240" w:lineRule="auto"/>
    </w:pPr>
  </w:style>
  <w:style w:type="character" w:styleId="747">
    <w:name w:val="Title Char"/>
    <w:basedOn w:val="902"/>
    <w:link w:val="905"/>
    <w:uiPriority w:val="10"/>
    <w:rPr>
      <w:sz w:val="48"/>
      <w:szCs w:val="48"/>
    </w:rPr>
  </w:style>
  <w:style w:type="character" w:styleId="748">
    <w:name w:val="Subtitle Char"/>
    <w:basedOn w:val="902"/>
    <w:link w:val="907"/>
    <w:uiPriority w:val="11"/>
    <w:rPr>
      <w:sz w:val="24"/>
      <w:szCs w:val="24"/>
    </w:rPr>
  </w:style>
  <w:style w:type="paragraph" w:styleId="749">
    <w:name w:val="Quote"/>
    <w:basedOn w:val="901"/>
    <w:next w:val="901"/>
    <w:link w:val="750"/>
    <w:uiPriority w:val="29"/>
    <w:qFormat/>
    <w:pPr>
      <w:ind w:left="720" w:right="720"/>
    </w:pPr>
    <w:rPr>
      <w:i/>
    </w:rPr>
  </w:style>
  <w:style w:type="character" w:styleId="750">
    <w:name w:val="Quote Char"/>
    <w:link w:val="749"/>
    <w:uiPriority w:val="29"/>
    <w:rPr>
      <w:i/>
    </w:rPr>
  </w:style>
  <w:style w:type="paragraph" w:styleId="751">
    <w:name w:val="Intense Quote"/>
    <w:basedOn w:val="901"/>
    <w:next w:val="901"/>
    <w:link w:val="75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2">
    <w:name w:val="Intense Quote Char"/>
    <w:link w:val="751"/>
    <w:uiPriority w:val="30"/>
    <w:rPr>
      <w:i/>
    </w:rPr>
  </w:style>
  <w:style w:type="character" w:styleId="753">
    <w:name w:val="Header Char"/>
    <w:basedOn w:val="902"/>
    <w:link w:val="911"/>
    <w:uiPriority w:val="99"/>
  </w:style>
  <w:style w:type="character" w:styleId="754">
    <w:name w:val="Footer Char"/>
    <w:basedOn w:val="902"/>
    <w:link w:val="913"/>
    <w:uiPriority w:val="99"/>
  </w:style>
  <w:style w:type="paragraph" w:styleId="755">
    <w:name w:val="Caption"/>
    <w:basedOn w:val="901"/>
    <w:next w:val="901"/>
    <w:link w:val="75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6">
    <w:name w:val="Caption Char"/>
    <w:basedOn w:val="902"/>
    <w:link w:val="755"/>
    <w:uiPriority w:val="35"/>
    <w:rPr>
      <w:b/>
      <w:bCs/>
      <w:color w:val="4f81bd" w:themeColor="accent1"/>
      <w:sz w:val="18"/>
      <w:szCs w:val="18"/>
    </w:rPr>
  </w:style>
  <w:style w:type="table" w:styleId="757">
    <w:name w:val="Table Grid"/>
    <w:basedOn w:val="90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>
    <w:name w:val="Table Grid Light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>
    <w:name w:val="Plain Table 1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0">
    <w:name w:val="Plain Table 2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>
    <w:name w:val="Plain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2">
    <w:name w:val="Plain Table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Plain Table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4">
    <w:name w:val="Grid Table 1 Light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4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6">
    <w:name w:val="Grid Table 4 - Accent 1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7">
    <w:name w:val="Grid Table 4 - Accent 2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Grid Table 4 - Accent 3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9">
    <w:name w:val="Grid Table 4 - Accent 4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Grid Table 4 - Accent 5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1">
    <w:name w:val="Grid Table 4 - Accent 6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2">
    <w:name w:val="Grid Table 5 Dark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3">
    <w:name w:val="Grid Table 5 Dark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6">
    <w:name w:val="Grid Table 5 Dark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7">
    <w:name w:val="Grid Table 5 Dark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8">
    <w:name w:val="Grid Table 5 Dark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9">
    <w:name w:val="Grid Table 6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0">
    <w:name w:val="Grid Table 6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1">
    <w:name w:val="Grid Table 6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2">
    <w:name w:val="Grid Table 6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3">
    <w:name w:val="Grid Table 6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4">
    <w:name w:val="Grid Table 6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5">
    <w:name w:val="Grid Table 6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6">
    <w:name w:val="Grid Table 7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1">
    <w:name w:val="List Table 2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2">
    <w:name w:val="List Table 2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3">
    <w:name w:val="List Table 2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4">
    <w:name w:val="List Table 2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5">
    <w:name w:val="List Table 2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6">
    <w:name w:val="List Table 2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7">
    <w:name w:val="List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5 Dark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5 Dark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5 Dark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8">
    <w:name w:val="List Table 6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9">
    <w:name w:val="List Table 6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0">
    <w:name w:val="List Table 6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1">
    <w:name w:val="List Table 6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2">
    <w:name w:val="List Table 6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3">
    <w:name w:val="List Table 6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4">
    <w:name w:val="List Table 6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5">
    <w:name w:val="List Table 7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6">
    <w:name w:val="List Table 7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7">
    <w:name w:val="List Table 7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8">
    <w:name w:val="List Table 7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9">
    <w:name w:val="List Table 7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60">
    <w:name w:val="List Table 7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61">
    <w:name w:val="List Table 7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62">
    <w:name w:val="Lined - Accent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3">
    <w:name w:val="Lined - Accent 1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4">
    <w:name w:val="Lined - Accent 2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5">
    <w:name w:val="Lined - Accent 3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6">
    <w:name w:val="Lined - Accent 4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7">
    <w:name w:val="Lined - Accent 5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8">
    <w:name w:val="Lined - Accent 6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9">
    <w:name w:val="Bordered &amp; Lined - Accent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0">
    <w:name w:val="Bordered &amp; Lined - Accent 1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1">
    <w:name w:val="Bordered &amp; Lined - Accent 2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2">
    <w:name w:val="Bordered &amp; Lined - Accent 3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3">
    <w:name w:val="Bordered &amp; Lined - Accent 4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4">
    <w:name w:val="Bordered &amp; Lined - Accent 5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5">
    <w:name w:val="Bordered &amp; Lined - Accent 6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6">
    <w:name w:val="Bordered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7">
    <w:name w:val="Bordered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8">
    <w:name w:val="Bordered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9">
    <w:name w:val="Bordered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0">
    <w:name w:val="Bordered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1">
    <w:name w:val="Bordered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2">
    <w:name w:val="Bordered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3">
    <w:name w:val="Hyperlink"/>
    <w:uiPriority w:val="99"/>
    <w:unhideWhenUsed/>
    <w:rPr>
      <w:color w:val="0000ff" w:themeColor="hyperlink"/>
      <w:u w:val="single"/>
    </w:rPr>
  </w:style>
  <w:style w:type="paragraph" w:styleId="884">
    <w:name w:val="footnote text"/>
    <w:basedOn w:val="901"/>
    <w:link w:val="885"/>
    <w:uiPriority w:val="99"/>
    <w:semiHidden/>
    <w:unhideWhenUsed/>
    <w:pPr>
      <w:spacing w:after="40" w:line="240" w:lineRule="auto"/>
    </w:pPr>
    <w:rPr>
      <w:sz w:val="18"/>
    </w:rPr>
  </w:style>
  <w:style w:type="character" w:styleId="885">
    <w:name w:val="Footnote Text Char"/>
    <w:link w:val="884"/>
    <w:uiPriority w:val="99"/>
    <w:rPr>
      <w:sz w:val="18"/>
    </w:rPr>
  </w:style>
  <w:style w:type="character" w:styleId="886">
    <w:name w:val="footnote reference"/>
    <w:basedOn w:val="902"/>
    <w:uiPriority w:val="99"/>
    <w:unhideWhenUsed/>
    <w:rPr>
      <w:vertAlign w:val="superscript"/>
    </w:rPr>
  </w:style>
  <w:style w:type="paragraph" w:styleId="887">
    <w:name w:val="endnote text"/>
    <w:basedOn w:val="901"/>
    <w:link w:val="888"/>
    <w:uiPriority w:val="99"/>
    <w:semiHidden/>
    <w:unhideWhenUsed/>
    <w:pPr>
      <w:spacing w:after="0" w:line="240" w:lineRule="auto"/>
    </w:pPr>
    <w:rPr>
      <w:sz w:val="20"/>
    </w:rPr>
  </w:style>
  <w:style w:type="character" w:styleId="888">
    <w:name w:val="Endnote Text Char"/>
    <w:link w:val="887"/>
    <w:uiPriority w:val="99"/>
    <w:rPr>
      <w:sz w:val="20"/>
    </w:rPr>
  </w:style>
  <w:style w:type="character" w:styleId="889">
    <w:name w:val="endnote reference"/>
    <w:basedOn w:val="902"/>
    <w:uiPriority w:val="99"/>
    <w:semiHidden/>
    <w:unhideWhenUsed/>
    <w:rPr>
      <w:vertAlign w:val="superscript"/>
    </w:rPr>
  </w:style>
  <w:style w:type="paragraph" w:styleId="890">
    <w:name w:val="toc 1"/>
    <w:basedOn w:val="901"/>
    <w:next w:val="901"/>
    <w:uiPriority w:val="39"/>
    <w:unhideWhenUsed/>
    <w:pPr>
      <w:ind w:left="0" w:right="0" w:firstLine="0"/>
      <w:spacing w:after="57"/>
    </w:pPr>
  </w:style>
  <w:style w:type="paragraph" w:styleId="891">
    <w:name w:val="toc 2"/>
    <w:basedOn w:val="901"/>
    <w:next w:val="901"/>
    <w:uiPriority w:val="39"/>
    <w:unhideWhenUsed/>
    <w:pPr>
      <w:ind w:left="283" w:right="0" w:firstLine="0"/>
      <w:spacing w:after="57"/>
    </w:pPr>
  </w:style>
  <w:style w:type="paragraph" w:styleId="892">
    <w:name w:val="toc 3"/>
    <w:basedOn w:val="901"/>
    <w:next w:val="901"/>
    <w:uiPriority w:val="39"/>
    <w:unhideWhenUsed/>
    <w:pPr>
      <w:ind w:left="567" w:right="0" w:firstLine="0"/>
      <w:spacing w:after="57"/>
    </w:pPr>
  </w:style>
  <w:style w:type="paragraph" w:styleId="893">
    <w:name w:val="toc 4"/>
    <w:basedOn w:val="901"/>
    <w:next w:val="901"/>
    <w:uiPriority w:val="39"/>
    <w:unhideWhenUsed/>
    <w:pPr>
      <w:ind w:left="850" w:right="0" w:firstLine="0"/>
      <w:spacing w:after="57"/>
    </w:pPr>
  </w:style>
  <w:style w:type="paragraph" w:styleId="894">
    <w:name w:val="toc 5"/>
    <w:basedOn w:val="901"/>
    <w:next w:val="901"/>
    <w:uiPriority w:val="39"/>
    <w:unhideWhenUsed/>
    <w:pPr>
      <w:ind w:left="1134" w:right="0" w:firstLine="0"/>
      <w:spacing w:after="57"/>
    </w:pPr>
  </w:style>
  <w:style w:type="paragraph" w:styleId="895">
    <w:name w:val="toc 6"/>
    <w:basedOn w:val="901"/>
    <w:next w:val="901"/>
    <w:uiPriority w:val="39"/>
    <w:unhideWhenUsed/>
    <w:pPr>
      <w:ind w:left="1417" w:right="0" w:firstLine="0"/>
      <w:spacing w:after="57"/>
    </w:pPr>
  </w:style>
  <w:style w:type="paragraph" w:styleId="896">
    <w:name w:val="toc 7"/>
    <w:basedOn w:val="901"/>
    <w:next w:val="901"/>
    <w:uiPriority w:val="39"/>
    <w:unhideWhenUsed/>
    <w:pPr>
      <w:ind w:left="1701" w:right="0" w:firstLine="0"/>
      <w:spacing w:after="57"/>
    </w:pPr>
  </w:style>
  <w:style w:type="paragraph" w:styleId="897">
    <w:name w:val="toc 8"/>
    <w:basedOn w:val="901"/>
    <w:next w:val="901"/>
    <w:uiPriority w:val="39"/>
    <w:unhideWhenUsed/>
    <w:pPr>
      <w:ind w:left="1984" w:right="0" w:firstLine="0"/>
      <w:spacing w:after="57"/>
    </w:pPr>
  </w:style>
  <w:style w:type="paragraph" w:styleId="898">
    <w:name w:val="toc 9"/>
    <w:basedOn w:val="901"/>
    <w:next w:val="901"/>
    <w:uiPriority w:val="39"/>
    <w:unhideWhenUsed/>
    <w:pPr>
      <w:ind w:left="2268" w:right="0" w:firstLine="0"/>
      <w:spacing w:after="57"/>
    </w:pPr>
  </w:style>
  <w:style w:type="paragraph" w:styleId="899">
    <w:name w:val="TOC Heading"/>
    <w:uiPriority w:val="39"/>
    <w:unhideWhenUsed/>
  </w:style>
  <w:style w:type="paragraph" w:styleId="900">
    <w:name w:val="table of figures"/>
    <w:basedOn w:val="901"/>
    <w:next w:val="901"/>
    <w:uiPriority w:val="99"/>
    <w:unhideWhenUsed/>
    <w:pPr>
      <w:spacing w:after="0" w:afterAutospacing="0"/>
    </w:pPr>
  </w:style>
  <w:style w:type="paragraph" w:styleId="901" w:default="1">
    <w:name w:val="Normal"/>
    <w:qFormat/>
    <w:rPr>
      <w:sz w:val="24"/>
      <w:szCs w:val="24"/>
    </w:rPr>
  </w:style>
  <w:style w:type="character" w:styleId="902" w:default="1">
    <w:name w:val="Default Paragraph Font"/>
    <w:uiPriority w:val="1"/>
    <w:semiHidden/>
    <w:unhideWhenUsed/>
  </w:style>
  <w:style w:type="table" w:styleId="9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4" w:default="1">
    <w:name w:val="No List"/>
    <w:uiPriority w:val="99"/>
    <w:semiHidden/>
    <w:unhideWhenUsed/>
  </w:style>
  <w:style w:type="paragraph" w:styleId="905">
    <w:name w:val="Title"/>
    <w:basedOn w:val="901"/>
    <w:link w:val="906"/>
    <w:qFormat/>
    <w:pPr>
      <w:jc w:val="center"/>
    </w:pPr>
    <w:rPr>
      <w:rFonts w:ascii="Garamond" w:hAnsi="Garamond"/>
      <w:szCs w:val="20"/>
    </w:rPr>
  </w:style>
  <w:style w:type="character" w:styleId="906" w:customStyle="1">
    <w:name w:val="Заголовок Знак"/>
    <w:basedOn w:val="902"/>
    <w:link w:val="905"/>
    <w:rPr>
      <w:rFonts w:ascii="Garamond" w:hAnsi="Garamond"/>
      <w:sz w:val="24"/>
    </w:rPr>
  </w:style>
  <w:style w:type="paragraph" w:styleId="907">
    <w:name w:val="Subtitle"/>
    <w:basedOn w:val="901"/>
    <w:link w:val="908"/>
    <w:qFormat/>
    <w:pPr>
      <w:jc w:val="center"/>
    </w:pPr>
    <w:rPr>
      <w:rFonts w:eastAsia="Calibri"/>
      <w:b/>
      <w:color w:val="ff0000"/>
      <w:szCs w:val="20"/>
    </w:rPr>
  </w:style>
  <w:style w:type="character" w:styleId="908" w:customStyle="1">
    <w:name w:val="Подзаголовок Знак"/>
    <w:basedOn w:val="902"/>
    <w:link w:val="907"/>
    <w:rPr>
      <w:rFonts w:eastAsia="Calibri"/>
      <w:b/>
      <w:color w:val="ff0000"/>
      <w:sz w:val="24"/>
    </w:rPr>
  </w:style>
  <w:style w:type="paragraph" w:styleId="909">
    <w:name w:val="Balloon Text"/>
    <w:basedOn w:val="901"/>
    <w:link w:val="910"/>
    <w:uiPriority w:val="99"/>
    <w:semiHidden/>
    <w:unhideWhenUsed/>
    <w:rPr>
      <w:rFonts w:ascii="Tahoma" w:hAnsi="Tahoma" w:cs="Tahoma"/>
      <w:sz w:val="16"/>
      <w:szCs w:val="16"/>
    </w:rPr>
  </w:style>
  <w:style w:type="character" w:styleId="910" w:customStyle="1">
    <w:name w:val="Текст выноски Знак"/>
    <w:basedOn w:val="902"/>
    <w:link w:val="909"/>
    <w:uiPriority w:val="99"/>
    <w:semiHidden/>
    <w:rPr>
      <w:rFonts w:ascii="Tahoma" w:hAnsi="Tahoma" w:cs="Tahoma"/>
      <w:sz w:val="16"/>
      <w:szCs w:val="16"/>
    </w:rPr>
  </w:style>
  <w:style w:type="paragraph" w:styleId="911">
    <w:name w:val="Header"/>
    <w:basedOn w:val="901"/>
    <w:link w:val="91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2" w:customStyle="1">
    <w:name w:val="Верхний колонтитул Знак"/>
    <w:basedOn w:val="902"/>
    <w:link w:val="911"/>
    <w:uiPriority w:val="99"/>
    <w:rPr>
      <w:sz w:val="24"/>
      <w:szCs w:val="24"/>
    </w:rPr>
  </w:style>
  <w:style w:type="paragraph" w:styleId="913">
    <w:name w:val="Footer"/>
    <w:basedOn w:val="901"/>
    <w:link w:val="91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4" w:customStyle="1">
    <w:name w:val="Нижний колонтитул Знак"/>
    <w:basedOn w:val="902"/>
    <w:link w:val="913"/>
    <w:uiPriority w:val="99"/>
    <w:rPr>
      <w:sz w:val="24"/>
      <w:szCs w:val="24"/>
    </w:rPr>
  </w:style>
  <w:style w:type="paragraph" w:styleId="915">
    <w:name w:val="List Paragraph"/>
    <w:basedOn w:val="901"/>
    <w:uiPriority w:val="34"/>
    <w:qFormat/>
    <w:pPr>
      <w:contextualSpacing/>
      <w:ind w:left="720"/>
    </w:pPr>
  </w:style>
  <w:style w:type="paragraph" w:styleId="916" w:customStyle="1">
    <w:name w:val="ConsPlusNormal"/>
    <w:pPr>
      <w:widowControl w:val="off"/>
    </w:pPr>
    <w:rPr>
      <w:rFonts w:ascii="Calibri" w:hAnsi="Calibri" w:cs="Calibri" w:eastAsiaTheme="minorEastAsia"/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hyperlink" Target="consultantplus://offline/ref=9EFBF6E89202F534A2B8F403A4D2A0018F4C99AC30EDC14CDB07CDD30B93B323925454B9D7B7D3C53F346510DBq3E" TargetMode="External"/><Relationship Id="rId12" Type="http://schemas.openxmlformats.org/officeDocument/2006/relationships/hyperlink" Target="consultantplus://offline/ref=9EFBF6E89202F534A2B8F403A4D2A0018F4C99AC30EDC14CDB07CDD30B93B323925454B9D7B7D3C53F346216DBq8E" TargetMode="External"/><Relationship Id="rId13" Type="http://schemas.openxmlformats.org/officeDocument/2006/relationships/hyperlink" Target="consultantplus://offline/ref=9EFBF6E89202F534A2B8F403A4D2A0018F4C99AC30EEC348D803CDD30B93B32392D5q4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>Администрация г.Мегион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MaksimovaVE</cp:lastModifiedBy>
  <cp:revision>134</cp:revision>
  <dcterms:created xsi:type="dcterms:W3CDTF">2020-07-31T07:22:00Z</dcterms:created>
  <dcterms:modified xsi:type="dcterms:W3CDTF">2026-09-09T05:28:58Z</dcterms:modified>
</cp:coreProperties>
</file>