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ХАНТЫ – МАНСИЙСКИЙ АВТОНОМНЫЙ ОКРУГ - ЮГРА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ТЮМЕНСКАЯ ОБЛАСТЬ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  <w:t xml:space="preserve">ПРЕДСТАВИТЕЛЬНЫЙ ОРГАН МУНИЦИПАЛЬНОГО ОБРАЗОВАНИЯ</w:t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0000ff"/>
          <w:sz w:val="24"/>
          <w:szCs w:val="20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  <w:t xml:space="preserve">ДУМА ГОРОДА МЕГИОНА</w:t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32"/>
          <w:szCs w:val="20"/>
          <w:lang w:eastAsia="ru-RU"/>
        </w:rPr>
      </w:r>
    </w:p>
    <w:p>
      <w:pPr>
        <w:ind w:left="-108"/>
        <w:jc w:val="center"/>
        <w:keepNext/>
        <w:spacing w:before="240" w:after="60" w:line="240" w:lineRule="auto"/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iCs/>
          <w:color w:val="ff0000"/>
          <w:sz w:val="28"/>
          <w:szCs w:val="28"/>
          <w:lang w:eastAsia="ru-RU"/>
        </w:rPr>
      </w:r>
    </w:p>
    <w:p>
      <w:pPr>
        <w:ind w:left="-108"/>
        <w:jc w:val="center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</w:r>
    </w:p>
    <w:p>
      <w:pPr>
        <w:ind w:left="-108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«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__________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2026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 xml:space="preserve"> года </w:t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ff"/>
          <w:sz w:val="24"/>
          <w:szCs w:val="24"/>
        </w:rPr>
        <w:tab/>
        <w:t xml:space="preserve">                     № _______</w:t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  <w:r>
        <w:rPr>
          <w:rFonts w:ascii="Times New Roman" w:hAnsi="Times New Roman" w:eastAsia="Calibri" w:cs="Times New Roman"/>
          <w:color w:val="0000ff"/>
          <w:sz w:val="24"/>
          <w:szCs w:val="24"/>
          <w:u w:val="single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решение Думы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03.02.2021 №45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структуре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Рассмотрев проект решения Думы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внесении изменени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решение Думы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03.02.2021 №45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структур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администрации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Феде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ральным законом от 20.03.2025 №33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-ФЗ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руководствуясь статьей 19, пунктом 4 статьи 27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устава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Дума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РЕШИЛА: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Внести в приложение к решению Думы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03.02.2021 №45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структуре администра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ции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(с изменениями)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следующие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изменения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ункты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2,3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изложить согласно приложению к настоящему решению.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Настоящее решение вступает в силу после его официального опубликования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Думы города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В.С.Заднепровская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before="100" w:beforeAutospacing="1" w:after="100" w:afterAutospacing="1" w:line="12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г.Мегиона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before="100" w:beforeAutospacing="1" w:after="100" w:afterAutospacing="1" w:line="12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_»_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/>
      <w:bookmarkStart w:id="0" w:name="sub_100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к </w:t>
      </w:r>
      <w:hyperlink w:tooltip="#sub_0" w:anchor="sub_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решению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Думы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города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Мегиона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от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__________ №____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Изменени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 CYR" w:hAnsi="Times New Roman CYR" w:cs="Times New Roman CYR" w:eastAsiaTheme="minorEastAsia"/>
          <w:color w:val="26282f"/>
          <w:sz w:val="24"/>
          <w:szCs w:val="24"/>
          <w:highlight w:val="none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в приложение к решению Думы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города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Мегиона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от 03.02.2021 №45 «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О структу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ре администрации города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Мегиона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(с изменениями)</w:t>
      </w:r>
      <w:r>
        <w:rPr>
          <w:rFonts w:ascii="Times New Roman CYR" w:hAnsi="Times New Roman CYR" w:cs="Times New Roman CYR" w:eastAsiaTheme="minorEastAsia"/>
          <w:color w:val="26282f"/>
          <w:sz w:val="24"/>
          <w:szCs w:val="24"/>
          <w:highlight w:val="none"/>
          <w:lang w:eastAsia="ru-RU"/>
        </w:rPr>
      </w:r>
      <w:r>
        <w:rPr>
          <w:rFonts w:ascii="Times New Roman CYR" w:hAnsi="Times New Roman CYR" w:cs="Times New Roman CYR" w:eastAsiaTheme="minorEastAsia"/>
          <w:color w:val="26282f"/>
          <w:sz w:val="24"/>
          <w:szCs w:val="24"/>
          <w:highlight w:val="none"/>
          <w:lang w:eastAsia="ru-RU"/>
        </w:rPr>
      </w:r>
    </w:p>
    <w:p>
      <w:pPr>
        <w:jc w:val="left"/>
        <w:spacing w:after="0" w:line="240" w:lineRule="auto"/>
        <w:widowControl w:val="off"/>
        <w:rPr>
          <w:rFonts w:ascii="Times New Roman CYR" w:hAnsi="Times New Roman CYR" w:cs="Times New Roman CYR" w:eastAsiaTheme="minorEastAsia"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highlight w:val="none"/>
          <w:lang w:eastAsia="ru-RU"/>
        </w:rPr>
      </w:r>
      <w:r>
        <w:rPr>
          <w:rFonts w:ascii="Times New Roman CYR" w:hAnsi="Times New Roman CYR" w:cs="Times New Roman CYR" w:eastAsiaTheme="minorEastAsia"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color w:val="26282f"/>
          <w:sz w:val="24"/>
          <w:szCs w:val="24"/>
          <w:lang w:eastAsia="ru-RU"/>
        </w:rPr>
      </w:r>
    </w:p>
    <w:p>
      <w:pPr>
        <w:ind w:firstLine="720"/>
        <w:jc w:val="lef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highlight w:val="none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«2. Органы администрации в сфере социальной политики:</w:t>
      </w:r>
      <w:r>
        <w:rPr>
          <w:rFonts w:ascii="Times New Roman CYR" w:hAnsi="Times New Roman CYR" w:cs="Times New Roman CYR" w:eastAsiaTheme="minorEastAsia"/>
          <w:sz w:val="24"/>
          <w:szCs w:val="24"/>
          <w:highlight w:val="none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highlight w:val="none"/>
          <w:lang w:eastAsia="ru-RU"/>
        </w:rPr>
      </w:r>
    </w:p>
    <w:p>
      <w:pPr>
        <w:pStyle w:val="870"/>
        <w:numPr>
          <w:ilvl w:val="0"/>
          <w:numId w:val="3"/>
        </w:numPr>
        <w:ind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департамент образования (юридическое лицо);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numPr>
          <w:ilvl w:val="0"/>
          <w:numId w:val="3"/>
        </w:numPr>
        <w:ind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культуры;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851"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управление физической культуры и спорта;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 w:right="0" w:firstLine="0"/>
        <w:jc w:val="lef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4) </w:t>
      </w:r>
      <w:r>
        <w:rPr>
          <w:rFonts w:ascii="Times New Roman" w:hAnsi="Times New Roman" w:cs="Times New Roman"/>
          <w:sz w:val="24"/>
          <w:szCs w:val="24"/>
        </w:rPr>
        <w:t xml:space="preserve">отдел по обеспечению деятельности муниципальной комиссии по делам несовершеннолетних;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pStyle w:val="870"/>
        <w:ind w:left="851" w:right="0" w:firstLine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отдел записи актов гражданского состояния;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851"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) управление молодежной политики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2" w:right="0" w:firstLine="578"/>
        <w:jc w:val="lef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3. Органы администрации в сфере территориального развития: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pStyle w:val="870"/>
        <w:numPr>
          <w:ilvl w:val="0"/>
          <w:numId w:val="1"/>
        </w:numPr>
        <w:ind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numPr>
          <w:ilvl w:val="0"/>
          <w:numId w:val="1"/>
        </w:numPr>
        <w:ind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жилищной политики;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851"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департамент землеустройства и градостроительства;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851"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4) управление муниципального контроля;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0"/>
        <w:ind w:left="851" w:firstLine="2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5) управление жилищно-коммунального </w:t>
      </w:r>
      <w:r>
        <w:rPr>
          <w:rFonts w:ascii="Times New Roman" w:hAnsi="Times New Roman" w:cs="Times New Roman"/>
          <w:sz w:val="24"/>
          <w:szCs w:val="24"/>
        </w:rPr>
        <w:t xml:space="preserve">комплекса.»</w:t>
      </w:r>
      <w:bookmarkStart w:id="1" w:name="_GoBack"/>
      <w:r/>
      <w:bookmarkEnd w:id="1"/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20607061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03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61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61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1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1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1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0"/>
    <w:next w:val="86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1"/>
    <w:link w:val="704"/>
    <w:uiPriority w:val="10"/>
    <w:rPr>
      <w:sz w:val="48"/>
      <w:szCs w:val="48"/>
    </w:rPr>
  </w:style>
  <w:style w:type="paragraph" w:styleId="706">
    <w:name w:val="Subtitle"/>
    <w:basedOn w:val="860"/>
    <w:next w:val="86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1"/>
    <w:link w:val="706"/>
    <w:uiPriority w:val="11"/>
    <w:rPr>
      <w:sz w:val="24"/>
      <w:szCs w:val="24"/>
    </w:rPr>
  </w:style>
  <w:style w:type="paragraph" w:styleId="708">
    <w:name w:val="Quote"/>
    <w:basedOn w:val="860"/>
    <w:next w:val="860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0"/>
    <w:next w:val="86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1"/>
    <w:link w:val="866"/>
    <w:uiPriority w:val="99"/>
  </w:style>
  <w:style w:type="character" w:styleId="713">
    <w:name w:val="Footer Char"/>
    <w:basedOn w:val="861"/>
    <w:link w:val="868"/>
    <w:uiPriority w:val="99"/>
  </w:style>
  <w:style w:type="paragraph" w:styleId="714">
    <w:name w:val="Caption"/>
    <w:basedOn w:val="860"/>
    <w:next w:val="860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61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1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1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paragraph" w:styleId="864">
    <w:name w:val="Balloon Text"/>
    <w:basedOn w:val="860"/>
    <w:link w:val="86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61"/>
    <w:link w:val="864"/>
    <w:uiPriority w:val="99"/>
    <w:semiHidden/>
    <w:rPr>
      <w:rFonts w:ascii="Segoe UI" w:hAnsi="Segoe UI" w:cs="Segoe UI"/>
      <w:sz w:val="18"/>
      <w:szCs w:val="18"/>
    </w:rPr>
  </w:style>
  <w:style w:type="paragraph" w:styleId="866">
    <w:name w:val="Header"/>
    <w:basedOn w:val="860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1"/>
    <w:link w:val="866"/>
    <w:uiPriority w:val="99"/>
  </w:style>
  <w:style w:type="paragraph" w:styleId="868">
    <w:name w:val="Footer"/>
    <w:basedOn w:val="860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1"/>
    <w:link w:val="868"/>
    <w:uiPriority w:val="99"/>
  </w:style>
  <w:style w:type="paragraph" w:styleId="87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Евгения Валентиновна</dc:creator>
  <cp:keywords/>
  <dc:description/>
  <cp:revision>10</cp:revision>
  <dcterms:created xsi:type="dcterms:W3CDTF">2024-09-17T05:29:00Z</dcterms:created>
  <dcterms:modified xsi:type="dcterms:W3CDTF">2026-01-21T09:40:58Z</dcterms:modified>
</cp:coreProperties>
</file>