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both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6661"/>
        <w:jc w:val="both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666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решению Думы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6661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6242" w:firstLine="41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27.02.2026 № 68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ОТЧЕТ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деятельности Контрольно-счетной палаты города Мегиона за 2025 год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Настоящий отчет о деятельности Контрольно-счетной палаты города Мегиона за 2025 год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подготовлен на основании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раздела 20 Положения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Контрольно-счетной палате города Мегиона, утвержденного решением Думы города Мегиона от 27.01.2012 № 222 (с изменениями) (далее – Положение о Контрольно-счетной палате).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Согласно пункту 1 раздела 1 Положения о Контрольно-счетной палате к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онтрольно-счетный орган муниципального образования - Контрольно-счетная палата города Мегиона (далее - Контрольно-счетная палата) является постоянно действующим органом внешнего муниципального финансового контроля, образуемым Думой города Мегиона (далее 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Дума города) и подотчетным 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Компетенция и порядок деятельности Контрольно-счетной палаты определены Бюджетным кодексом Российской Федерации (далее - БК РФ), Федеральным законом от 07.02.2011 № 6-ФЗ «Об общих принципах организации и деятельности контроль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но-счетных органов субъектов Российской Федерации, федеральных территорий и муниципальных образований»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(далее - Федеральный закон № 6-ФЗ), Уставом города Мегиона, Положением о Контрольно-счетной палате, Регламентом Контрольно-счетной палаты, Положением об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отдельных вопросах организации и осуществления бюджетного процесса в городском округе Мегион, иными федеральными и региональными законами, нормативно-правовыми актами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Муниципальный финансовый контроль является одним из средств реализации 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сударственной политики и инструментом государства, обеспечивающим повышение эффективности использования бюджетных средств и муниципальных ресурсов в целом, и, как следствие, стабильность социально-экономического развития.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Полномочия Контрольно-счетной пал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ости, результативности (эффективности и экономности) и целевого использования средств местного бюджета участниками бюджетного процесса в городе Мегионе, соблюдения ими правил ведения бюджетного учета и отчетности, осуществления аудита в сфере закупок и осу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ществления производства по делам об административных правонарушениях в сфере бюджетного законодательства.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Деятельность Контрольно-счетной палаты строится на основе годового плана, формируемого по поручениям Думы Ханты-Мансийского автономного округа - Югры,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Думы города Мегиона, предложений Губернатора Ханты-Мансийского автономного округа - Югры, главы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соответствии со статьей 10 Федерального закона № 6-ФЗ, разделом 9 Положения о Контрольно-счетной палате внешний муниципальный финансовый конт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роль осуществляется в форме контрольных и экспертно-аналитических мероприятий.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Основные задачи Контрольно-счетной палаты в отчетном периоде заключались в контроле за исполнением местного бюджета, соблюдением установленного порядка подготовки и рассмотрения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№ 6-ФЗ и Положением о Контрольно-счетной палате 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довой план деятельности в обязательном порядке предусматривает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на плановый период.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настоящем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отчете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  <w:t xml:space="preserve">представлена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ab/>
        <w:t xml:space="preserve">сводная информация о реализованных 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2025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году контрольных и экспертно-аналитических мероприятиях, а также об иной деятельности, осуществляемой Контрольно-счетной палатой.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numPr>
          <w:ilvl w:val="0"/>
          <w:numId w:val="14"/>
        </w:numPr>
        <w:contextualSpacing/>
        <w:jc w:val="center"/>
        <w:spacing w:after="120" w:line="240" w:lineRule="auto"/>
        <w:shd w:val="clear" w:color="auto" w:fill="ffff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Общие показатели о деятельности Контрольно-счетной палаты города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Мегиона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Контрольно-счетной палатой в 2025 году проведено: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1) 8 контрольных мероприятий, в том числе внешняя проверка бюджета города Мегиона и 2 экспертно-аналитических мероприятий (за исключением экспертиз проектов законодательных и иных нормативных право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вых актов);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2) 117 экспертно-аналитических мероприятий на проекты муниципальных правовых актов (новые муниципальные программы, изменения в муниципальные программы, изменения в муниципальные правовые акты, касающиеся управления и распоряжения муниципальным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жилищным фондом, положения по оплате труда и видах поощрений, порядки предоставления субсидий, проект решения о бюджете на 2026 год и плановый период 2027 и 2028 годов, 4 внесения изменений в бюджет города на 2025 год и другие).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Основные показатели, характеризующие деятельность Контрольно-счетной палаты за 2023 – 2025 годы, приведены в таблице 1.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Таблица 1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2841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254"/>
        <w:gridCol w:w="1435"/>
        <w:gridCol w:w="1965"/>
        <w:gridCol w:w="1276"/>
        <w:gridCol w:w="9437"/>
        <w:gridCol w:w="9345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Штатная численность, утверждённая/факт,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6/6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6/6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6/6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Кол-во специалистов, участвующих в проведении контрольных и экспертно-аналитических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3. Контроль формирования и исполнения бюджета города Мегиона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9437" w:type="dxa"/>
            <w:textDirection w:val="lrTb"/>
            <w:noWrap w:val="false"/>
          </w:tcPr>
          <w:p>
            <w:pPr>
              <w:contextualSpacing/>
              <w:spacing w:after="1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3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Внешняя проверка годового отчёта об исполнении бюджета,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(за 2022 год)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(за 2023 год)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(за 2024 год)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Объём средств, охваченных внешней проверкой годового отчёта об исполнении бюджета,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5 931 893,6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7 403 290,7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6 752 913,5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Экспертиза изменений и дополнений в бюджет города на текущий (отчётный) год,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 (за 2023)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 (за 2024)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(2025)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Объём средств, охваченных в рамках экспертизы изменений и дополнений в бюджет города на текущий (отчётный)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1 018 591,0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1 195 134,3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1 230 508,1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Экспертиза проекта бюджета города на очередной год,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(на 2024 год)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(на 2025 год)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(на 2026)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3.6.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Объём средств, охваченных в рамках экспертизы проекта бюджета города на очередной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5 702 473,9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7 330 920,2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7 439 610,5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3.7.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Экспертиза отчетов об исполнении бюджета города за текущий (отчётный) год,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(1квартал,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полугодие,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 месяцев)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(1квартал,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полугодие,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 месяцев)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(1квартал,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полугодие,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 месяцев)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3.8.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Объём средств, охваченных в рамках экспертизы  отчётов об исполнении бюджета города за текущий (отчётный) год,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1 335 674,2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3 623 021,6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5 408 280,4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1 393 788,1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3 160 097,9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4 421 870,3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1 455 397,3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3 685 432,8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5 690 738,3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4.Контрольная деятельность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Проведено контрольных и экспертно-аналитических мероприятий (за исключением экспертиз проектов законодательных и иных нормативных правовых актов),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Объём проверенных средств (без учета внешней проверки бюджета), тыс. 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437 347,05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477 044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3 381 491,43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4.2.1.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в том числе местный бюджет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305 741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83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344 929,29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3 309 071,23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Выявлено нарушений и недостатков, имеющих стоимостную оценку,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40 022,68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117 669,99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523 442,18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4.3.1.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не могут быть устранены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39 958,64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117 375,00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513 123,35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4.3.2.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подлежащие устранению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64,04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294,99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10 318,83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4.3.3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Из общей суммы  выявлено нарушений порядка учета, управления и распоряжения имуществом, находящимся в муниципальной собственности,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276,30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3 977,89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325 662,83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4.4.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Устранено финансовых нарушений, тыс. рублей, в том числе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39 958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64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117 669,99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513 269,41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4.4.1.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путем принятия к сведению, внесения изменений в нормативно правовые акты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39 919,52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117 653,35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197 487,72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4.4.2.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возмещено средств в бюджет 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39,12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16,64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4.4.3.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Из общей суммы устранено нарушений установленного порядка управления и распоряжения муниципальным имуществом, тыс. рублей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276,30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3 977,89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315 781,69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4.5.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Составлено актов по результатам контрольных мероприятий,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заключений по результатам экспертно-аналитических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4.6.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Охвачено контрольными мероприятиями объектов,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4.7.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направленных представлений/предписаний,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11/0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7/0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7/0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4.8.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Подготовлено предложений по результатам контрольных мероприятий по устранению нарушений, не имеющих суммового выражения (ед.), из них: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165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4.9.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Устранено нарушений, не имеющих суммовое выражение,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374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284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712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4.10.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Подготовлено актов осмотров в ходе проведения контрольных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Привлечено к дисциплинарной ответственности по результатам контрольных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Привлечено к уголовной ответственности по результатам контрольных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Привлечено к административной ответственности, чел.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33" w:type="dxa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5.Экспертно-аналитическая деятельность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Проведено экспертно-аналитических мероприятий,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137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117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Подготовлено предложений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Принято предложений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Отношение принятых предложений относительно подготовленных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94%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97%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85%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63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6.Методическая работа, гласность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утвержденных и используемых методических материалов  (стандарты, методические рекомендации),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4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информационных материалов  о деятельности контрольно-счетной палаты  размещено в средствах массовой информации, ед.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190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188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объем проверенных средств влияет объект контрольного мероприятия, так как каждый год в план работы включаются разные объекты с различным объемом финансирования, а также проводятся мероприятия, включающие в себя анализ использования объектов мун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иципальной собственности.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Структура выявленных в 2025 году нарушений и недостатков представлена в таблице 2.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Таблица 2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500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233"/>
        <w:gridCol w:w="1187"/>
        <w:gridCol w:w="735"/>
      </w:tblGrid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Вид нарушения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Сумма (тыс. руб.)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Финансовые нарушения и недостатки, в том числе: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197 779,35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100,00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Нецелевое использование бюджетных средств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137,47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0,07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Неэффективное использование бюджетных средств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533,82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0,27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 Нарушения при осуществлении муниципальных закупок и закупок отдельными видами юридических лиц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185 742,77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93,92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Нарушения учёта и отчётности (нарушения бухгалтерского учета)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505,85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Расходы, осуществленные в нарушение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6 928,43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3,51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Финансовая оценка иных нарушений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3 931,01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1,99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Нарушения в сфере учёта, управления и распоряжения имуществом, из них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325 662,83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100,00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3..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 возможности устранения: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t xml:space="preserve">197 779,35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100,00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Нарушения, которые не могут быть устранены, принятие к сведению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187 460,52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94,79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Нарушения, подлежащие устранению, в том числе: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10 318,83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5,21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нарушения, по которым возможно возмещение в бюджет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Устранено, принято к сведению  нарушений и недостатков, из них: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197 487,72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100,00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устранено финансовых нарушений и недостатков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ab/>
              <w:t xml:space="preserve">, из них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437,69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приняты к сведению выявленные нарушения и недостатки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197 050,03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99,77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645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232" w:type="auto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Устранено нарушений в сфере учёта, управления и распоряжения имуществом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11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315 781,69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90" w:type="dxa"/>
              <w:right w:w="150" w:type="dxa"/>
              <w:bottom w:w="90" w:type="dxa"/>
            </w:tcMar>
            <w:tcW w:w="73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96,97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финансовых нарушений и недостатков, выявленных по результатам контрольных и экспертно-аналитических мероприятий 2025 года, составил 197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779,35 тыс. рублей. Объем нарушений в сфере учета, управления и распоряжения имуществом выявлено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общую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сумму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325 662,83 тыс. рублей.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Более подробная информация по выявленным нарушениям и недостаткам в ходе проведения контрольных мероприятий отражена в разделе 2 настоящего отчета.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Из общей суммы финансовых нарушений и недостатков, выявленных в 2025 году: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ния, которые не могут быть устранены (в основном нарушения бухгалтерского учета по закрытым отчетным периодам, неэффективное использование бюджетных средств, нарушения требований законодательства), составили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187 460,52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нарушения, подлежащие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устранению, составили 10 318,83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2025 году принято к сведению нарушений и недостатков на сумму 197 050,03 тыс. рублей, устранено на сумму 437,69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Устранено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нарушений в сфере учета, управления и распоряжения имуществом в сумме 315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781,69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соответствии со статьей 268.1 БК РФ в 2025 году Контрольно-счетной палатой объектам проверки направлено 7 представлений для принятия мер по устранению выявленных нарушений, причин и условий, способствующих их совершению, из которых по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состоянию на окончание отчетного года снято с контроля 6 представл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numPr>
          <w:ilvl w:val="0"/>
          <w:numId w:val="14"/>
        </w:numPr>
        <w:contextualSpacing/>
        <w:jc w:val="center"/>
        <w:spacing w:before="120" w:after="120" w:line="240" w:lineRule="auto"/>
        <w:shd w:val="clear" w:color="auto" w:fill="ffffff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Итоги контрольной деятельности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целях общей оценки нарушений и недостатков в настоящем разделе приведены данные по результатам контрольных и экспертно-аналитических мероприятий (за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исключением экспертиз проектов законодательных и иных нормативных правовых актов), в ходе проведения которых установлены нарушения, имеющие как стоимостную оценку, так 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другие виды нарушений. В части финансовых нарушений имеются устранимые и неустранимые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нарушения.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предложениям Контрольно-счетной палаты при осуществлении контрольной деятельности, урегулировано и приведено в соответствие с действующим законодательством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18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нормативных правовых и локальных актов (внесены изменения или вновь приняты).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отчетном году Контрольно-счетной палатой проведены следующие мероприятия: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19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2.1. Контрольное мероприятие «Проверка реализации муниципальной программы «Развитие гражданского общества на территории города Мегиона»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Объектами проверки являлись: администрация 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6 977,0 тыс. рублей, в том числе местный бюджет – 6 977,0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Установлено финансовых нарушений и недостатков всего – 2 случая на общую сумму 1 491,3 тыс. рублей. из них: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финансовая оценка иных нарушений – 1 491,3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– 36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Установлены нарушения требований статьи 31.1. Федерального закона от 12.01.1996 № 7-ФЗ «О некоммерческих организациях»: 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тсутствие нормативного акта представительного органа, утверждающего дополнительные виды деятельности, для признания некоммерческой организации социально ориентированной;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Установлены 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рушения и недостатки нормативно-правовых актов администрации города, уст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анавливающих порядки предоставления субсидий и грантов некоммерческим организациям: отсутствие нормы о принятии решения о проведении отбора получателей гранта в форме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субсидии, содержащее условия проведения данного отбора; отсутствие способов предоставлени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я субсидии: финансовое обеспечение затрат либо возмещение недополученных доходов и (или) возмещение затрат, отсутствие обязательных условий о направлении расходов, источником финансового обеспечения которых является субсидия, отсутствие условий о максималь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но возможном размере субсидии.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Установлено нарушение сроков проведения отбора конкурсных заявок для предоставления гранта в форме субсидии из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Установлены случаи несоответствия фактического использования средств гранта заявленным направлениям расхо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отношении всех размещенных извещений о проведении конкурсного отбора невозможно установить дату размещения информации, отсутствовала информация об объеме распределяемой субсидии в рамках конкурса, порядок расчета размера субсидии, установленный прав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овым актом, правила распределения субсидии по результатам конкурса, а также предельное количество победителей конкурса (в 4 из 5 извещениях в сфере культуры), отсутствовала информация о достижимых результатах, а также отсутствовала информация об объеме рас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пределяемой субсидии в рамках конкурса, порядок расчета размера субсидии, установленный правовым актом, правила распределения субсидии по результатам конкурса, а также предельное количество победителей конкурса (в 13 из 13 в сфере физической культуры и спо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рта).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отчетах о фактическом использовании субсидии отсутствовала информация (документы), подтверждающая проведение мероприятий силами некоммерческих организаций (фотоматериалы, ссылки на информационные ресурсы).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дминистрации города было направлено представление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объектом контроля представлена информация о принятии к свед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ению и недопущению в дальнейшем выявленных нарушений.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Решением Думы города Мегиона от 25.04.2025 № 454 установлены дополнительные виды деятельности некоммерческих организаций в целях признания их социально ориентированными некоммерческими организациями 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оказания им поддержки.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Постановление администрации города от 22.10.2025 № 1659 внесены изменения в постановление администрации города от 31.05.2021 № 1257 «Об утверждении порядка предоставления субсидии из бюджета города Мегиона негосударственным социально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ориентированным некоммерческим организациям (за исключением субсидий муниципальным учреждениям)».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2.2. Контрольное мероприятие «Проверка деятельности муниципального автономного дошкольного образовательного учреждения № 15 «Югорка» в части контроля за эффе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ктивным использованием средств на закупку товаров, работ, услуг отдельными видами юридических лиц, законности и правильности начисления и выплаты заработной платы работникам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Объектами проверки являлись: Муниципальное автономное дошкольное образовательное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учреждение № 15 «Югорка»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(далее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МАДОУ № 15 «Югорка»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).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92 229,24 тыс. рублей, в том числе местный бюджет – 20 267,26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Установлено финансовых нарушений и недостатков всего –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24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случая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 общую сумму 4 628,47 тыс. рублей, из них: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нецелевое использование бюджетных средств – 1 случай на сумму 38,45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неэффективное использование бюджетных средств – 5 случаев на сумму 519,82 тыс. рублей;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расходы, осуществленные в нарушени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 законодательства – 6 случаев на сумму 137,07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 бухгалтерского учета, составления и представления бухгалтерской (финансовой) отчетности – 2 случая на сумму 505,85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нарушения при осуществлении муниципальных закупок и закупок отдельными видами юридических лиц – 9 случаев на сумму 1 067,93,0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финансовая оценка иных нарушений - 1 случай на сумму 2 359,35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щих стоимостную оценку – 7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проведенного контрольного мероприятия установлено нарушение порядка установления и выплаты стимулирующей выплаты за интенсивность и высокие результаты работы, порядка установления  и выплаты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единовременной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(разовой) стимулирующей выплаты за особые достижения при выполнении услуг (работ).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В проверяемом периоде установлен случай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отсутствия начисления выпл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ат, направленных на достижение установленного показателя средней заработной платы.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Допущено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несоблюдение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порядка применения классификации операций сектора государственного управления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(КОСГУ) и нецелевое использование субсидии на финансирование выполнения муниципального задания в части выплаты выходного пособия уволенным работникам.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t xml:space="preserve">Допущено 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t xml:space="preserve">неправомерное отнесение расходов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на оплату труда работников по таким должностям как уборщик служебных помещений, уборщик территории за счет субсидии на финансовое обеспечение выполнения муниц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ипального задания из средств местного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Установлено наруше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ние заполнения форм статистической отчетности.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Целевой показатель по среднемесячно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й заработной плате отдельных категорий педагогических работников муниципальных организаций на 2024 год не достигнут.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Style w:val="918"/>
          <w:rFonts w:ascii="Times New Roman" w:hAnsi="Times New Roman" w:eastAsia="Times New Roman"/>
          <w:b w:val="0"/>
          <w:color w:val="000000" w:themeColor="text1"/>
          <w:sz w:val="24"/>
          <w:szCs w:val="24"/>
        </w:rPr>
        <w:t xml:space="preserve">Устано</w:t>
      </w:r>
      <w:r>
        <w:rPr>
          <w:rStyle w:val="918"/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</w:rPr>
        <w:t xml:space="preserve">влено превышение фонда оплаты труда работников адм</w:t>
      </w:r>
      <w:r>
        <w:rPr>
          <w:rStyle w:val="918"/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</w:rPr>
        <w:t xml:space="preserve">инистративно-управленческого и вспомогательного персонала на 3,5%.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Style w:val="918"/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</w:rPr>
        <w:t xml:space="preserve">При проверке эффективного использования средств на закупку товаров, работ, услуг отдельными видами юридических лиц за счет субсидии на финансовое обеспечение выполнения муниципального задан</w:t>
      </w:r>
      <w:r>
        <w:rPr>
          <w:rStyle w:val="918"/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</w:rPr>
        <w:t xml:space="preserve">ия и субсидии на иные цели</w:t>
      </w:r>
      <w:r>
        <w:rPr>
          <w:rStyle w:val="918"/>
          <w:rFonts w:ascii="Times New Roman" w:hAnsi="Times New Roman" w:eastAsia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установлено нарушение в части отсутствия размещенного п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лана закупки инновационной продукции, высокотехнологичной продукции, лекарственных средств, другие нарушения в части размещения информации на официальном сайте Единой информа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ционной системы в сфере закупок.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нарушения порядка формирования начальной максимальной цены договора.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МАДОУ № 15 «Югорка»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было направлено представление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объектом контроля представлена информация о принятии к сведению и недопущению в дальнейшем выявленных наруше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ний.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Приказом МАДОУ №15 «Югорка» от 19.05.2025 № 160-О утверждены критерии оценки размера стимулирующей выплаты сотрудникам за интенсивность и высокие результаты работы.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2.3. Контрольное мероприятие «Проверка законности и эффективности использования бюдже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тных средств, направленных на обеспечение деятельности муниципального казенного учреждения «Служба обеспечения», а также соблюдение порядка управления и распоряжения муниципальным имуществом, с элементами аудита в сфере закупок».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Объектом проверки являлос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ь муниципальное казенное учреждение «Служба обеспечения» (далее - МКУ «СО»).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169 337,4 тыс. рублей, в том числе местный бюджет – 169 337,4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Сумма финансовых нарушений и недостатков всего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 10 172,77 тыс. рублей, из них: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неэффективное использование бюджетных средств – 1 случай на сумму 14,0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 в сфере управления и распоряжения муниципальной собственностью - 1 случай на сумму 9 881,14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нарушения при осуществлении муниципальных закупок и закупок отдельными видами юридических лиц – 7 случаев на сумму 277,63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– 3 случая.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Контрольным мероприятием установлено несоответ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ствие вида экономической деятельности,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указанном в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Едином государственном реестре юридических лиц, виду деятельности соответствующему основной цели создания МКУ «СО».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Установлены недостатки действующего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Порядка материально-технического и организационного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обеспечения деятельности органов местного самоуправления города Мегиона, утвержденного решением Думы города Мегиона от 31.10.2014 № 452,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постановления администрации города от 23.11.2012 № 2651 «О материально-техническом и организационном обеспечении админ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истрации города».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Неэффективное использование бюджетных средств 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ыразилось в осуществлении расходов без проведения конкурентного отбора исполнителя услуг.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Выявлены нарушения в части учета земельных участков.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 проверке деятельности Учреждения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сфере закупок товаров, работ, услуг для обеспечения государственных и муниципальных нужд указано на несоответствие требований утвержденных должностных инструкций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профессиональному стандарту «Специалист в сфере закупок».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Утвержденные нормативные затраты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а обеспечение функций органов местного самоуправления города Мегиона содержит не все категории муниципальных должностей.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Обращено внимание на необходимость принятия единого порядка установления норм представительских расходов в органах местного самоуправле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ния.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Рекомендовано ведение документооборота запросов о предоставлении ценовой информации к полученным коммерческим предложениям.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нарушения в порядке формирования начальной (максимальной) цены контракта.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МКУ «СО» было направлено представление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объектом контроля представлена информация о принятии к сведению и не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допущению в дальнейшем выявленных нарушений.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2.4. Контрольное мероприятие «Проверка управления и распоряжения муниципальной собственностью, закрепленной на праве хозяйственного ведения за муниципальным унитарным предприятием «Тепловодоканал»».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Объектами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проверки являлось муниципальное унитарное предприятие «Тепловодоканал».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2023, 2024 годы.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2 521 755,53 тыс. рублей, в том числе средства местного бюджета – 2 521 755,53 тыс. рублей.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Сумма финансовых нарушени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й и недостатков – 315 593,85 тыс. рублей, в том числе: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 в сфере управления и распоряжения муниципальной собственностью – 133 случаев на сумму 315 593,85 тыс. рублей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– 23 случая.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Конт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рольным мероприятием установлено неисполнение решения Думы города Мегиона от 23.09.2022 № 220 «Об установлении размера отчислений в бюджет города Мегиона части прибыли муниципальных унитарных предприятий, остающейся после уплаты налогов и иных обязательных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платежей на 2023 год и на плановый период 2024 и 2025 годов» решения Думы города Мегиона от 22.09.2023 № 306 «Об установлении размера отчислений в бюджет города Мегиона части прибыли муниципального унитарного предприятия, остающейся после уплаты налогов 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иных обязательных платежей на 2024 год и плановый период 2025 и 2026 годов».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Установлено нарушение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Порядка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исч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исления и уплаты в бюджет города Мегиона части прибыли муниципальных унитарных предприятий за использование муниципального имущества, находящегося в хозяйственном ведении, утвержденного решением Думы города Мегиона от 22.06.2021 № 84.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нарушения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порядка проведения инвентаризации имущества и финансовых обязательств.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нарушения в части принятия к учету объектов основных средств, переданных на праве хозяйственного ведения, в части оформления прав на земельные участки.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случаи нарушения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Порядка списания муниципального имущества, находящегося в собственности города Мегиона, утвержденного постановлением администрации города Мегиона от 29.10.2020 № 2118.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Установлены случаи крупных сделок без согласования с админи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страцией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в адрес объекта контроля направлено представления для принятия мер по устранению выявленных бюджетных и иных нарушений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недостатков, предотвращению нанесения материального ущерба муниципальн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6-ФЗ объектами контроля представлена информация о принятии к сведению и недопущению в дальнейшем выявленных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2.5. Контрольное мероприятие «Проверка деятельности муниципального автономного учреждения дополнительного образования «Спортивная школа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«Юность» в части контроля за эффективным использованием средств на закупку товаров, работ, услуг отдельными видами юридических лиц, законности и правильности начисления и выплаты заработной платы работникам».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Объектом проверки являлось муниципальное автон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омное учреждение дополнительного образования «Спортивная школа «Юность».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2023, 2024 годы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253 403,46 тыс. рублей, в том числе местный бюджет – 252 945,24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Сумма финансовых нарушений и недостатков –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9 431,03 тыс. рублей, в том числе: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нецелевое использование бюджетных средств – 1 случай на сумму 99,02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 в сфере управления и распоряжения муниципальной собственностью - 2 случая на сумму 187,84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расходы, осуществлен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ные в нарушение законодательства - 4 случая на сумму 6 791,36 тыс. рублей;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нарушения при осуществлении муниципальных закупок и закупок отдельными видами юридических лиц - 8 случаев на сумму 2 352,81 тыс.рублей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– 455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установлено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отсутствие утвержденных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Учредителем Натуральных норм для определения базового норматива затрат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на оказание муниципальных услуг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в связи с чем установить эффективное использование средств субсидии на финансовое обеспечение выполнения муниципального задания Учреждением не представилось возможным.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При проверке правильности начисления заработной платы установлены выплаты не предусмот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ренные нормативными документами об установлении системы оплаты труда, неправомерное начисление стимулирующих выплат, неправомерное установление должностных окладов, неправомерный выбор источника финансирования выплаты заработной платы, применение ставок, н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е утвержденных штатным расписанием, неправомерная выплата коэффициента специфики работы, другие нарушения начисления заработной платы.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Установлено недостижение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целевого показателя соотношения среднего уровня заработной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платы работников Учреждения и средней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заработной платы в Ханты-Мансийском автономном округе-Югре.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 п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роверке использования средств на закупку товаров, работ, услуг отдельными видами юридических лиц за счет субсидии на финансовое обеспечение выполнения муниципального задания и субсидии на ин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ые цели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установлены нарушения </w:t>
      </w:r>
      <w:r>
        <w:rPr>
          <w:rFonts w:ascii="Times New Roman" w:hAnsi="Times New Roman" w:eastAsia="Times New Roman"/>
          <w:color w:val="000000" w:themeColor="text1"/>
          <w:sz w:val="24"/>
        </w:rPr>
        <w:t xml:space="preserve">Положения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закупке, утвержден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ного  Постановлением Правительства Российской Федерации от 10.09.2012 № 908, многочисленные нарушения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Положений о закупках МАУ ДО «СШ «Юность».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в адрес объектов контроля направлены представления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должностных лиц, виновных в до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объектом контроля представлена информация о принятии к сведению и недопущению в дальнейшем выявленных наруше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2.6. Контрольное мероприятие «Проверка деятельности администрации города Мегиона по управлению и распоряжению земельными ресурсами города Мегиона».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Объектом проверки являлась администрация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период: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149 061,1 тыс. рублей, в том числе местный бюджет – 149 061,1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Сумма финансовых нарушений и недостатков в сфере управления и распоряжения муниципальной собственностью 78,56 тыс. рублей, выразившаяся в потерях бюджета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-99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ходе контрольного мероприятия установлены недостатки действующих административных регламентов, а также нарушения в их использовании при предоставлении муниципальных услуг.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новлено отсутствие разработанного и утвержденного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административного регламента определяющий стандарт, сроки и последовательность действий (административных процедур) при оказании муниципальной услуги по предоставлению земельных участков в собственность без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 торгов в случаях, указанных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в пункте 1 статьи 39.18 ЗК РФ.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Установлены нарушения в расчетах начислений пени за несвоевременную оплату начисленных платежей, установлен случай недоначисления сумм арендной платы.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в адр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ес объекта контроля направлено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ветственности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объектами контроля представлена информация о принятии к сведению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 недопущению в дальнейшем выявленных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2.7. Проверка законности и эффективности использования бюджетных средств, направленных на реализацию подпрограммы 2 «Содержание и текущий ремонт автомобильных дорог, проездов, элементов обустройства улично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-дорожной сети, объектов внешнего благоустройства города Мегиона» муниципальной программы «Развитие транспортной системы города Мегиона».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Объектом проверки являлось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казенное учреждение «Управление капитального строительства»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Проверяемый перио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д: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проверенных средств – 188 727,7 тыс. рублей, в том числе местный бюджет – 188 727,7 тыс. рублей.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Сумма финансовых нарушений и недостатков в сфере осуществлении муниципальных закупок и закупок отдельными видами юридических лиц 182 044,4 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ыс. рублей (3 случая).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нарушений, не имеющих стоимостную оценку - 38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ходе контрольного мероприятия установлено, что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 планировании финансовых затрат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местного бюджета на 2024 год н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 ремонт и содержание автомобильных дорог местного значения не применялись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установленные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города Мегиона от 15.06.2017 № 1118,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планировании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финансовых затрат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местного бюджета на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ремонт и содержание автомобильных дорог местного значения оценка транспортно-эксплуатационного состояния автомобильных дорог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не проводи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лась.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При проверке правильности проведения конкурсных процедур при заключении муниципальных контрактов установлено неправомерное применение несоответствующего </w:t>
      </w:r>
      <w:r>
        <w:rPr>
          <w:rFonts w:ascii="Times New Roman" w:hAnsi="Times New Roman" w:eastAsia="Times New Roman"/>
          <w:color w:val="000000" w:themeColor="text1"/>
          <w:sz w:val="24"/>
          <w:highlight w:val="white"/>
        </w:rPr>
        <w:t xml:space="preserve">общероссийский классификатор продукции по видам экономической деятельности.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обоснования начал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ьной (максимальной) цены муниципальных контрактов, заключенных в форме электронных аукционов использованы коммерческие предложения, полученные по запросу Учреждения от лиц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имеющих связь,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при которой у них есть инструменты влияния на деятельность друг друга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before="119" w:after="0" w:line="240" w:lineRule="auto"/>
        <w:shd w:val="clear" w:color="ffffff" w:fill="ffffff"/>
        <w:rPr>
          <w:rFonts w:ascii="Times New Roman" w:hAnsi="Times New Roman" w:eastAsia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ходе проведения анализа организации и определения Учреждением объемов процесса реализации содержания и текущего ремонта автомобильных дорог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установлено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допущение случаев нарушения сроков подписания документов о приемке оказанных услуг, установленных муниципальными контрактами, установлены недостатки предоставленных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фотоматериалов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выборочной фиксации процесс, с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лучаи принятия работ в отсутствие ежедневного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предоставления подрядчиками информации о планируемых работах и объектах, фактически оказанных услугах с указанием видов услуг и объема услуг с расшифровкой по объектам,  предусмотренной техническим заданием, случаи принятия работ в отсутствие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в составе исп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олнительной документации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сертификатов  соответствия, паспортов подтверждающие соответствие основных средств и материалов, используемых подрядчиком, требованиям государственных стандартов, с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лучаи принятия работ в отсутствие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в составе исполнительной документ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ации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журнала производства, предусмотренных техническим заданием,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принятие работ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по устройству пешеходного тротуара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 использовании подрядчиком материалов б/у при условии, установленном техническим заданием муниципального контракта об использовании для проведения работ новых материалов,  ранее не использовавшимися. 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контрольного мероприятия в адрес об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ъекта контроля направлено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венности должностных лиц, виновных в допущенных нарушениях, а также мер по пресечению, устранению и предупреждению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сроки, установленные статьей 16 Федерального закона № 6-ФЗ объектом контроля представлена информация о принятии к сведению и нед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опущению в дальнейшем выявленных нарушений.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2.8. По результатам контрольного мероприятия «Проверка деятельности муниципального автономного учреждения «Дворец искусств» в части соблюдения порядка управления и распоряжения муниципальным имуществом, законност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и результативности использования средств субсидий, полученных из бюджета города», проведенном в 2024 году, в 2025 году 2 должностных лица управления культуры администрации города привлечены к административной ответственности по статье 15.15.15. «Нарушени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 порядка формирования государственного (муниципального) задания» Кодекса Российской Федерации об административных правонарушениях.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2.9. Экспертно-аналитическое мероприятие «Анализ использования бюджетных средств, полученных муниципальным образованием гор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од Мегион на оплату труда работников образовательных организаций, в части выплат 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от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годы», установленных постановлением администрации города Мегиона от 21.12.2023 № 2161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«Об утверждении типового положения об установлении системы оплаты труда работников муниципальных образовательных организаций, подведомственных департаменту образования администрации города» (с изменениями)».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Экспертно-аналитическое мероприятие направлено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анализ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ормативных правовых актов и иных  документов, информации в части выплат отдельным категориям работников организаций с целью обеспечения достижения целевого показателя по заработной плате в соответствии с Указами Президента Российской Федерации 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 07.05.2012 № 597 «О мероприятиях по реализации государственной социальной политики» (далее – Указ Президента № 597), от 01.06.2012 № 761 «О национальной стратегии действий в интересах детей на 2012-2017 годы» (далее – Указ Президента № 761).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выявленных нарушений и недостатков - 27 случаев.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ходе экспертно-аналитического мероприятия установлено, что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достижения целевого показателя по средней заработной плате за счет увеличения учебной нагрузки педагогических работников.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нарушение заполнения статистической отчетности по форме ЗП-образование. В отдельных общеобразовательных учреждениях установлено отсутствие порядков установления стимулирующих выплат.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основании результатов экспертно-аналитического мероприятия для устран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ения выявленных нарушений, замечаний и недопущения предложено принять ряд мер. Замечания приняты и устранены, соответствующие порядки приняты.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2.10. Экспертно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-аналитическое мероприятие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Анализ документов стратегического планирования с целью оценки реализуем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образования».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Целью экспертно-аналитического мероприятия являлись 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нализ нормативных правовых актов и иных распорядительных документов, регламентирующих деятельность органов местного самоуправления в сфере стратегического планирования; 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города Мегиона, предусмотренных документами стратегического планирования города Мегиона.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Количество выявленных нарушений и недостатков - 24 случая.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ходе экспертн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 аналитического мероприятия выявлены нарушения принципа сбалансированности системы стратегического планирования, который означает согласованность и сбалансированность документов стратегического планирования по приоритетам, целям, задачам, мероприятиям, по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казателям, финансовым и иным ресурсам и срокам реализации. Установлены недостатки и нарушения действующих нормативных документов, регламентируюших деятельность с сфере стратегического планирования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основании результатов экспертно-аналитич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еского мероприятия для устранения выявленных нарушений, замечаний и недопущения предложено принять ряд мер. В настоящее время работа по приведению документов стратегического планирования в соответствие действующему законодательству не закончена.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2.11. Вне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шняя проверка бюджетной отчетности главных администраторов бюджетных средств за 2024 год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Контрольным мероприятием были охвачены 4 главных администратора бюджетных средств: администрация города Мегиона, департамент финансов администрации города Мегиона, деп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артамент образования администрации города Мегиона, Дума города Мегиона.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Финансовых нарушений и недостатков не установлено.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проведенной внешней проверки Отчета об исполнении бюджета городского округа Мегион Ханты-Мансийского автономного округа – Югры за 2024 год, в том числе внешней проверки бюджетной отчетности главных администраторов бюджетных средств установле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но следующее: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Отчет об исполнении бюджета города Мегиона за 2024 год представлен в срок, установленный БК РФ, разделом 8 Положения о бюджетном процессе.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Плановые показатели, указанные в консолидированной бюджетной отчетности об исполнении бюджета за 2024 г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од, соответствуют показателям сводной бюджетной росписи бюджета города на 2024 год с учетом изменений, внесенных в ходе исполнения бюджета.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Бюджетная отчетность об исполнении консолидированного бюджета муниципального образования город Мегион за 2024 год со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ставлена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 28.12.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2010 № 191н.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Отражение доходов, расходов, источников финансирования дефицита бюджета в Отчете об исполнении бюджета городского округа Мегион Ханты-Мансийского автономного округа - Югры за 2024 год выполнено в соответствии с консолидированной отчетностью об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исполнении бюджета, составленной на основании бюджетной отчетности главных администраторов бюджетных средств, что свидетельствует о его достоверности. В целом, информация об активах и обязательствах, финансово-хозяйственных операциях, изложенная в бюджетн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ой отчетности, раскрыта полно. Искажений бюджетной отчетности, имеющих существенный характер либо явившихся результатом преднамеренных действий или бездействий, значительно влияющих на ее достоверность, не выявлено.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внешней проверки годовой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бюджетной отчетности главных администраторов бюджетных средств за 2024 год установлено, что бюджетная отчетность является достаточно информативной, информация, позволяющая дать оценку факторам, повлиявшим на исполнение бюджета и на результаты деятельности,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в полной мере отражена в пояснительных записках к годовой бюджетной отчетности.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Результаты контрольного мероприятия были использованы при подготовке заключения на отчет об исполнении бюджета города Мегиона за 2024 год.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2.12. В отчетном периоде специалисты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Контрольно-счетной палаты были привлечены к проверкам, проводимым прокуратурой города Мегиона: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п</w:t>
      </w:r>
      <w:r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роверка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требований законодательства о противодействии коррупции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проведенной проверки, подготовлена мотивированная справка о выявле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нных нарушениях.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2.13. В отчетном периоде в соответствии с Федеральным законом от 02.05.2006 № 59-ФЗ «О порядке рассмотрения обращений граждан Российской Федерации» в адрес Контрольно-счетной палаты поступило 2 обращения, пересланные из Аппарата Губернатор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 Ханты-Мансийского автономного округа - Югры.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всем обращениям даны мотивированные ответы авторам обращений.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 Экспертно-аналитическая деятельность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3.1. Важн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ым направлением в работе Контрольно-счетной палаты является экспертно-аналитическая деятельность, в рамках которой проводятся экспертизы, в том числе финансовые, поступивших проектов решений Думы города Мегиона, проектов постановлений администрации города.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 2025 год Контрольно-счетной палатой города проведено 117 экспертно-аналитических мероприятия в отношении проектов муниципальных правовых актов (изменения в муниципальные программы, проект решения о бюджете на 2026 год и плановый период 2027 и 2028 годо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в, 3 внесения изменений в бюджет города на 2025 год и другие).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Наибольший удельный вес экспертиз - 55 экспертиз, приходится на нормативно правовые акты администрации города по внесению изменений в муниципальные программы, 24 экспертиз положений по регулиро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ванию оплаты труда, 24 экспертиз проектов решений Думы города Мегиона и 14 экспертиз проектов в области прочей деятельности администрации города.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результатам экспертно-аналитических мероприятий были подготовлены соответствующие заключения.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подготов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ке заключений большое внимание уделялось взаимодействию с разработчиками проектов муниципальных правовых актов.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Возникающие в процессе работы над заключениями вопросы, замечания и предложения прорабатывались сотрудниками Контрольно-счетной палаты совместн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с разработчиками в рабочем порядке, а также в рамках проведения совместных совещаний в случаях возникновения вопросов по представленным проектам муниципальных правовых актов. Таким образом, представленные в Контрольно-счетную палату материалы проектов му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ниципальных правовых актов дорабатывались разработчиками на стадии подготовки заключения Контрольно-счетной палатой с учетом уже рассмотренных устных предложений и замечаний. Большая часть указанных предложений была направлена на предоставление разработчик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ами проектов необходимой дополнительной информации (в том числе экономических расчетов), обоснований и пояснений по предоставленным данным.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Выявлено 67 нарушений и замечаний, предложения по устранению которых направлены лицам, ответственным за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разработку проектов муниципальных правовых актов.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итогам экспертно-аналитической деятельности Контрольно-счетной палаты учтено и принято к сведению 57 замечаний и предложений или 85 % от общего количества.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На постоянной основе осуществляется взаимодейс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твие Контрольно-счетной палаты и прокуратуры города Мегиона в сфере муниципального правотворчества. Все проекты муниципальных правовых актов, предусматривающих финансирование из местного бюджета, после прохождения экспертизы в Контрольно-счетной палате нап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равляются разработчиками в прокуратуру города Мегион. Нарушения бюджетного законодательства, выявленные Контрольно-счетной палатой и прокуратурой города, в том числе, отсутствие соответствующих заключений органа муниципального контроля на проект муниципаль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ного нормативного правового акта, являлись основанием для направления прокурором в администрацию города информации о несоответствии проектов требованиям законодательства. Факты нарушений бюджетного законодательства в проектах муниципальных нормативных прав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ar-SA"/>
        </w:rPr>
        <w:t xml:space="preserve">овых актов при наличии положительного заключения Контрольно-счетной палаты прокуратурой города не выявлены.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3.2. В соответствии со статьей 265 БК РФ Контрольно-счетная палата как постоянно действующий орган внешнего муниципального финансового контроля осу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ществляет предварительный и последующий контроль исполнения бюджета. В рамках предварительного контроля Контрольно-счетная палата проводит экспертизу проекта бюджета города и проектов решений Думы города о внесении изменений в бюджет города, в рамках после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дующего контроля осуществляет, в том числе, внешнюю проверку бюджетной отчетности главных администраторов бюджетных средств и внешнюю проверку годового отчета об исполнении бюджета города.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целях получения информации и выработки предложений, направленных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совершенствование как бюджетного процесса в целом, так и на совершенствование взаимодействия участников бюджетного процесса, Контрольно-счетной палатой, как и в предыдущем отчетном периоде, особое внимание было уделено проекту бюджета и отчету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/>
        <w:t xml:space="preserve">о его исп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олнении.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3.2.1.  Предварительный контроль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При экспертизе проекта решения Думы города «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 бюджете </w:t>
      </w:r>
      <w:bookmarkStart w:id="0" w:name="_GoBack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городского округа Мегион Ханты-Мансийского автономного округа - Югры на 2025 год и плановый период 2026 и 2027 годов</w:t>
      </w:r>
      <w:bookmarkEnd w:id="0"/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представленных одновременно с ним матери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алов, документы были в целом признаны соответствующими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требованиям БК РФ 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Положению об отдельных вопросах организации и осуществления бюджетного процесса в городском округе город Мегион, утвержденного решением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Думы города Мегиона от 30.11.2012 № 306 (с из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менениями).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течение 2025 года в решение Думы города Мегиона от 09.12.2024 № 427 «О бюджете городского округа Мегион Ханты-Мансийского автономного округа – Югры на 2025 год и плановый период 2026 и 2027 годов»  3 раза вносились изменения. По каждому прое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кту решения Думы подготовлены заключения на соответствие требованиям Бюджетного кодекса Российской Федерации, Положению об отдельных вопросах организации и осуществления бюджетного процесса в городском округе Мегион Ханты-Мансийского автономного округа 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гры, утвержденного решением Думы города Мегиона от 30.11.2012 № 306 (с изменениями) и иным нормативным правовым актам.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3.2.2. Последующий контроль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Одним из основных мероприятий последующего контроля, проведенных Контрольно-счетной палатой в отчетном году 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а основании статьи 264.4 БК РФ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Положения об отдельных вопросах организации и осуществления бюджетного процесса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являлась внешняя проверка годового отчета об исполнении бюджета городского округа Мегион Ханты-Мансийского автономного округа - Югры за 2024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год и подготовка заключения по ее результатам.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Заключение Контрольно-счетной палаты на отчет об исполнении бюджета – это, в первую очередь, комплексный анализ выполнения обязательств органов местного самоуправления на основе не только анализа исполнения б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юджета, но и результатов, проведенных за соответствующий период контрольных и экспертно-аналитических мероприятий.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Внешней проверкой годового отчета об исполнении бюджета городского округа Мегион Ханты-Мансийского автономного округа - Югры за 2024 год, в 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ом числе внешней проверкой бюджетной отчетности главных администраторов бюджетных средств были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установлены отдельные случаи отражения в формах годового отчета об исполнении бюджета неполной информации, указано на недостатки работы главных администраторов 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юджетных средств в ходе исполнения бюджета,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которые на достоверность годовой бюджетной отчетности не повлияли.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План работы Контрольно-счетной палаты на 2025 год выполнен.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center"/>
        <w:spacing w:before="120" w:after="12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4. Проведенные мероприятия по профилактике и предупреждению финансовых нарушений, п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ротиводействию коррупции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Деятельность Контрольно-счетной палаты направлена на профилактику и предупреждение нарушений законодательства при расходовании бюджетных средств. Для достижения данной цели в течение 2025 года по результатам контрольны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х и экспертно-аналитических мероприятий проводились следующие действия: анализ выявленных в их ходе нарушений, их обобщение и выявление среди данных нарушений неоднократных, связанных с недостатками действующего законодательства, неверным применением либо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толкованием законодательства, с субъективными факторами, обнаруженных причин и условий, способствующих их совершению.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ходе обеспечения Контрольно-счетной палатой, в соответствии с Федеральным законом № 6-ФЗ, мер по противодействию коррупции приоритетное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внимание уделялось вопросам предупреждения коррупции, в том числе выявлению и последующему устранению ее причин.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связи с этим в Контрольно-счетной палате проводится целенаправленная работа по осуществлению мероприятий по исполнению Федерального закона от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25.12.2008 № 273-ФЗ «О противодействии коррупции», соответствующих Указов Президента Российской Федерации и иных нормативных правовых актов, направленных на принятие эффективных мер по профилактике коррупции, соблюдению общих принципов служебного поведени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я, норм профессиональной этики, обязательств, ограничений и запретов, установленных на муниципальной службе.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отчетном периоде главный акцент сделан на осуществление системных мер, направленных на выявление и устранение причин и условий, способствующих во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зникновению коррупционных проявлений и конфликта интересов на муниципальной службе. На рабочих совещаниях ежеквартально доводилась информация надзорных органов за соблюдением законодательства по противодействию коррупции в органах государственной власти 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органах местного самоуправления Ханты-Мансийского автономного округа – Югры.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ходе декларационной кампании для исключения случаев представления недостоверных и (или) неполных сведений о доходах, расходах, об имуществе и обязательствах имущественного харак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тера и оказания практической помощи в заполнении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справок о доходах, расходах, об имуществе и обязательствах имущественного характера, с сотрудниками проведены учебно-методические занятия об изменениях в антикоррупционном законодательстве Российской Федерац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ии по порядку представления муниципальными служащими сведений о доходах, расходах, об имуществе и обязательствах имущественного характера.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Все представленные справки о доходах, расходах, об имуществе и обязательствах имущественного характера лиц, замещающи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х муниципальные должности и муниципальных служащих Контрольно-счетной палаты города Мегион подготовлены с использованием специального программного обеспечения «Справки БК».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частью 8 статьи 16 Федерального закона № 6-ФЗ в случае, если при п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материалы контрольных мероприятий в правоохранительные органы.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отчетном периоде Контрольно-счетная палата принимала участие в работе Межведомственных рабочих групп по противодействию коррупции, на которых рассматривались вопросы о проводимой работе по пр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едупреждению, выявлению и пресечению коррупционных преступлений в сфере государственных и муниципальных закупок, экономики и финансов.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профилактики возникновения нарушений и устранения выявляемых нарушений Контрольно-счетной палатой в течение 2025 года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постоянной основе организована работа с должностными лицами проверяемых объектов по рассмотрению результатов проведенных мероприятий. Проведение совместных совещаний с субъектами проверок позволило определить сроки и механизмы реализации предложений Ко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нтрольно-счетной палаты.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12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2026 году работа по устранению коррупционной составляющей в правовой базе города, а также взаимодействие с органами контроля при определении коррупционных рисков будут продолжены.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Выводы и иная информация о деятельности Контр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ольно-счетной палаты города Мегиона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5.1. Методическая работа, обучение, участие в Совете органов внешнего финансового контроля Ханты-Мансийского автономного округа – Югры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899"/>
        <w:contextualSpacing/>
        <w:ind w:firstLine="567"/>
        <w:jc w:val="both"/>
        <w:spacing w:before="120"/>
        <w:rPr>
          <w:rFonts w:eastAsia="Times New Roman"/>
          <w:color w:val="000000" w:themeColor="text1"/>
        </w:rPr>
      </w:pPr>
      <w:r>
        <w:rPr>
          <w:color w:val="000000" w:themeColor="text1"/>
        </w:rPr>
        <w:t xml:space="preserve">В целях </w:t>
      </w:r>
      <w:r>
        <w:rPr>
          <w:bCs/>
          <w:color w:val="000000" w:themeColor="text1"/>
        </w:rPr>
        <w:t xml:space="preserve">методического обеспечения деятельности в</w:t>
      </w:r>
      <w:r>
        <w:rPr>
          <w:color w:val="000000" w:themeColor="text1"/>
        </w:rPr>
        <w:t xml:space="preserve"> 2025</w:t>
      </w:r>
      <w:r>
        <w:rPr>
          <w:color w:val="000000" w:themeColor="text1"/>
        </w:rPr>
        <w:t xml:space="preserve"> году продолжено совершенствование системы стандартов Контрольно-счетной палаты, осуществлялась разработка  </w:t>
      </w:r>
      <w:r>
        <w:rPr>
          <w:bCs/>
          <w:color w:val="000000" w:themeColor="text1"/>
        </w:rPr>
        <w:t xml:space="preserve">единых подходов </w:t>
      </w:r>
      <w:r>
        <w:rPr>
          <w:color w:val="000000" w:themeColor="text1"/>
        </w:rPr>
        <w:t xml:space="preserve">к выявлению коррупционных рисков, составлению протоколов об административных правонарушениях, проведению экспертиз проектов муниципа</w:t>
      </w:r>
      <w:r>
        <w:rPr>
          <w:color w:val="000000" w:themeColor="text1"/>
        </w:rPr>
        <w:t xml:space="preserve">льных правовых актов города Мегиона, порядка организации и проведения совместных или параллельных проверок Контрольно-счетной палаты города Мегиона и Счетной палаты Ханты-Мансийского автономного округа - Югры. </w:t>
      </w:r>
      <w:r>
        <w:rPr>
          <w:rFonts w:eastAsia="Times New Roman"/>
          <w:color w:val="000000" w:themeColor="text1"/>
        </w:rPr>
        <w:t xml:space="preserve">Количество утвержденных и используемых методич</w:t>
      </w:r>
      <w:r>
        <w:rPr>
          <w:rFonts w:eastAsia="Times New Roman"/>
          <w:color w:val="000000" w:themeColor="text1"/>
        </w:rPr>
        <w:t xml:space="preserve">еских материалов (стандарты, методические рекомендации) в 2025 году составило 20 единиц. </w:t>
      </w:r>
      <w:r>
        <w:rPr>
          <w:rFonts w:eastAsia="Times New Roman"/>
          <w:color w:val="000000" w:themeColor="text1"/>
        </w:rPr>
      </w:r>
      <w:r>
        <w:rPr>
          <w:rFonts w:eastAsia="Times New Roman"/>
          <w:color w:val="000000" w:themeColor="text1"/>
        </w:rPr>
      </w:r>
    </w:p>
    <w:p>
      <w:pPr>
        <w:pStyle w:val="899"/>
        <w:contextualSpacing/>
        <w:ind w:firstLine="567"/>
        <w:jc w:val="both"/>
        <w:spacing w:before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Контрольно-счетная палата является членом Совета органов внешнего финансового контроля Ханты-Мансийского автономного округа – Югры, а также с 2014 года членом Союза м</w:t>
      </w:r>
      <w:r>
        <w:rPr>
          <w:rFonts w:eastAsia="Times New Roman"/>
          <w:color w:val="000000" w:themeColor="text1"/>
        </w:rPr>
        <w:t xml:space="preserve">униципальных контрольно-счетных органов (Союз МКСО). Это позволяет обеспечить выполнение поставленных перед ней задач, путем применения поступающих материалов в части: единообразия методологических подходов к контрольной и экспертно-аналитической деятельно</w:t>
      </w:r>
      <w:r>
        <w:rPr>
          <w:rFonts w:eastAsia="Times New Roman"/>
          <w:color w:val="000000" w:themeColor="text1"/>
        </w:rPr>
        <w:t xml:space="preserve">сти; оказания организационной, правовой, информационной, методической и иной помощи; оказание содействия в повышении профессионального уровня в сфере внешнего финансового контроля; получение обобщенного и распространенного передового опыта осуществления вн</w:t>
      </w:r>
      <w:r>
        <w:rPr>
          <w:rFonts w:eastAsia="Times New Roman"/>
          <w:color w:val="000000" w:themeColor="text1"/>
        </w:rPr>
        <w:t xml:space="preserve">ешнего финансового контроля; возможность обсуждения основных аспектов взаимодействия контрольно-счетных органов и органов прокуратуры; рассмотрение актуальных вопросов муниципального финансового контроля на местном уровне, типичных выявляемых нарушений и т</w:t>
      </w:r>
      <w:r>
        <w:rPr>
          <w:rFonts w:eastAsia="Times New Roman"/>
          <w:color w:val="000000" w:themeColor="text1"/>
        </w:rPr>
        <w:t xml:space="preserve">.д.</w:t>
      </w:r>
      <w:r>
        <w:rPr>
          <w:rFonts w:eastAsia="Times New Roman"/>
          <w:color w:val="000000" w:themeColor="text1"/>
        </w:rPr>
      </w:r>
      <w:r>
        <w:rPr>
          <w:rFonts w:eastAsia="Times New Roman"/>
          <w:color w:val="000000" w:themeColor="text1"/>
        </w:rPr>
      </w:r>
    </w:p>
    <w:p>
      <w:pPr>
        <w:pStyle w:val="899"/>
        <w:contextualSpacing/>
        <w:ind w:firstLine="567"/>
        <w:jc w:val="both"/>
        <w:spacing w:before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В 2025 году председатель Контрольно-счетной палаты включена в состав комиссии Союза МКСО </w:t>
      </w:r>
      <w:r>
        <w:rPr>
          <w:rFonts w:eastAsia="Times New Roman"/>
          <w:color w:val="000000" w:themeColor="text1"/>
        </w:rPr>
        <w:t xml:space="preserve">по перспективному планированию деятельности и формированию муниципальных контрольно-счетных органов.</w:t>
      </w:r>
      <w:r>
        <w:rPr>
          <w:rFonts w:eastAsia="Times New Roman"/>
          <w:color w:val="000000" w:themeColor="text1"/>
        </w:rPr>
      </w:r>
      <w:r>
        <w:rPr>
          <w:rFonts w:eastAsia="Times New Roman"/>
          <w:color w:val="000000" w:themeColor="text1"/>
        </w:rPr>
      </w:r>
    </w:p>
    <w:p>
      <w:pPr>
        <w:pStyle w:val="899"/>
        <w:contextualSpacing/>
        <w:ind w:firstLine="567"/>
        <w:jc w:val="both"/>
        <w:spacing w:before="12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В отчетном периоде председатель Контрольно-счетной палаты прин</w:t>
      </w:r>
      <w:r>
        <w:rPr>
          <w:rFonts w:eastAsia="Times New Roman"/>
          <w:color w:val="000000" w:themeColor="text1"/>
        </w:rPr>
        <w:t xml:space="preserve">яла участие в заседании Совета органов внешнего финансового контроля Ханты-Мансийского автономного округа – Югры, во Всероссийской конференция «Роль МКСО в совершенствовании планирования социально-экономического развития территории», в общем собрание члено</w:t>
      </w:r>
      <w:r>
        <w:rPr>
          <w:rFonts w:eastAsia="Times New Roman"/>
          <w:color w:val="000000" w:themeColor="text1"/>
        </w:rPr>
        <w:t xml:space="preserve">в Представительства Союза МКСО в Сибирском и Уральском федеральных округах в городе Красноярске,  в заседании Президиума Союза МКСО.</w:t>
      </w:r>
      <w:r>
        <w:rPr>
          <w:rFonts w:eastAsia="Times New Roman"/>
          <w:color w:val="000000" w:themeColor="text1"/>
        </w:rPr>
      </w:r>
      <w:r>
        <w:rPr>
          <w:rFonts w:eastAsia="Times New Roman"/>
          <w:color w:val="000000" w:themeColor="text1"/>
        </w:rPr>
      </w:r>
    </w:p>
    <w:p>
      <w:pPr>
        <w:pStyle w:val="899"/>
        <w:contextualSpacing/>
        <w:ind w:firstLine="567"/>
        <w:jc w:val="both"/>
        <w:spacing w:before="120"/>
        <w:rPr>
          <w:rFonts w:eastAsia="Times New Roman"/>
          <w:color w:val="000000" w:themeColor="text1"/>
          <w:highlight w:val="yellow"/>
        </w:rPr>
      </w:pPr>
      <w:r>
        <w:rPr>
          <w:rFonts w:eastAsia="Times New Roman"/>
          <w:color w:val="000000" w:themeColor="text1"/>
        </w:rPr>
        <w:t xml:space="preserve">На постоянной основе сотрудники принимают участие в круглых столах, проводимых Союзом МКСО в онлайн режиме.</w:t>
      </w:r>
      <w:r>
        <w:rPr>
          <w:rFonts w:eastAsia="Times New Roman"/>
          <w:color w:val="000000" w:themeColor="text1"/>
          <w:highlight w:val="yellow"/>
        </w:rPr>
      </w:r>
      <w:r>
        <w:rPr>
          <w:rFonts w:eastAsia="Times New Roman"/>
          <w:color w:val="000000" w:themeColor="text1"/>
          <w:highlight w:val="yellow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5.2. 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овышение профессиональных компетенций сотрудников является одним из важнейших условий оптимизации деятельности Контрольно-счетной палаты. В связи с чем особое внимание уделяется дополнительному образованию сотрудников в форме курсов повышения квалификации.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Программы повышения квалификации подбирались с учетом полномочий и специфики органа внешнего муниципального контроля, с целью формирования у сотрудников практических навыков, необходимых для осуществления контрольной деятельности. Тематика курсов напрямую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соотносится с вопросами мероприятий, включаемых в План работы Контрольно-счетной палаты.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 2025 году 1 сотрудник прошел обучение по дополнительной профессиональной программе повышения квалификации «Профилактика коррупционных и иных правонарушений в органа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х местного самоуправления», проводимое автономным учреждением Ханты-Мансийского автономного округа – Югры «Региональный институт управления». 2 сотрудника повысили квалификацию в Санкт-Петербургского филиале ФГОБУ ВО «Финансовый университет при Правительст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ве Российской Федерации» по программе повышения квалификации «Правовые и организационные меры по противодействию коррупции в деятельности государственных и муниципальных учреждений», « Внешний муниципальный финансовый контроль в бюджетной сфере».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pStyle w:val="897"/>
        <w:contextualSpacing/>
        <w:ind w:left="0" w:firstLine="567"/>
        <w:spacing w:before="120" w:after="0"/>
        <w:tabs>
          <w:tab w:val="left" w:pos="720" w:leader="none"/>
        </w:tabs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5.3. </w:t>
      </w:r>
      <w:r>
        <w:rPr>
          <w:color w:val="000000" w:themeColor="text1"/>
          <w:szCs w:val="24"/>
          <w:lang w:val="ru-RU"/>
        </w:rPr>
        <w:t xml:space="preserve">Глас</w:t>
      </w:r>
      <w:r>
        <w:rPr>
          <w:color w:val="000000" w:themeColor="text1"/>
          <w:szCs w:val="24"/>
          <w:lang w:val="ru-RU"/>
        </w:rPr>
        <w:t xml:space="preserve">ность в работе</w:t>
      </w:r>
      <w:r>
        <w:rPr>
          <w:color w:val="000000" w:themeColor="text1"/>
          <w:szCs w:val="24"/>
          <w:lang w:val="ru-RU"/>
        </w:rPr>
      </w:r>
      <w:r>
        <w:rPr>
          <w:color w:val="000000" w:themeColor="text1"/>
          <w:szCs w:val="24"/>
          <w:lang w:val="ru-RU"/>
        </w:rPr>
      </w:r>
    </w:p>
    <w:p>
      <w:pPr>
        <w:contextualSpacing/>
        <w:ind w:firstLine="567"/>
        <w:jc w:val="both"/>
        <w:spacing w:before="120" w:after="0" w:line="240" w:lineRule="auto"/>
        <w:tabs>
          <w:tab w:val="left" w:pos="720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В отчетном году было уделено внимание вопросу обеспечения доступа к информации о деятельности Контрольно-счетной палаты.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целях обеспечения доступа к информации о своей деятельности Контрольно-счетная палатой в 2025 году размещено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сети Интернет на официальном сайте </w:t>
      </w:r>
      <w:hyperlink r:id="rId10" w:tooltip="http://spmegion.ru/" w:history="1">
        <w:r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 xml:space="preserve">http://spmegion.ru/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и печатном издании «Мегионские новости» 124 информаций по всем основным направлениям и документы, характеризующие деятельность Контрольно-счетной палаты: план работ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ы, отчет о деятельности, информацию о проведенных экспертно-аналитических и контрольных мероприятиях, регламент, стандарты, методические рекомендации, информация об антикоррупционной деятельности и другое.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целях совершенствования взаимодействия с населе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нием, осуществления общей политики информирования о деятельности органов местного самоуправления муниципального образования, обеспечивающей единые принципы, правила организации и ведения работы в социальных сетях, руководствуясь Федеральными законами от 06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.10.2003 №131-ФЗ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 информация размещается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официальной странице в социальной сети «ВКонтакте», «Одноклассники», в мессенджере «Max».</w:t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yellow"/>
        </w:rPr>
      </w:r>
    </w:p>
    <w:p>
      <w:pPr>
        <w:contextualSpacing/>
        <w:ind w:firstLine="567"/>
        <w:jc w:val="both"/>
        <w:spacing w:before="120" w:after="12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деятельности Контрольно-счетной палаты в 2025 году были сформированы в соответствии с полномочиями, возложенными на контрольно-счетный орган муни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ципального образования Бюджетным кодексом Российской Федерации, Федеральным законом от 07.02.2011 № 6-ФЗ «Об общих принципах организации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деятельности контрольно-счетных органов субъектов Российской Федерации, федеральных территорий и муниципальных образо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ваний», Федеральным законом от 05.04.2013 № 44-ФЗ «О контрактной системе в сфере закупок товаров, работ, услуг для обеспечения  государственных и муниципальных нужд», иными нормативными правовыми актами Российской Федерации, законами Ханты-Мансийского авто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номного округа - Югры и нормативными актами города Мегиона. Полномочия, возложенные на орган внешнего финансового контроля, определили основные задачи Контрольно-счетной палаты города Мегиона на 2025 год как ключевого элемента системы общественного контрол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 за расходованием средств бюджета и использованием муниципальной собственности, а также инструмента согласования решений в сфере социально-экономического развития города.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Основной задачей Контрольно-счетной палаты остается контроль соблюдения принципов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аконности, эффективности и результативности использования бюджетных средств на всех уровнях и этапах бюджетного процесса, также в 2026 году планируется продолжить применение в деятельности элементов стратегического аудита, позволяющего сопоставить ресурсны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возможности муниципалитета и ожидаемые конечные результаты.  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Отдельное внимание будет уделено мерам, предпринятым объектами контроля по исполнению представлений и предписаний Контрольно-счетной палаты, а также реализации предложений и рекомендаций,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дусмотренных информационными письмами Контрольно-счетной палаты.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before="120" w:after="120" w:line="240" w:lineRule="auto"/>
        <w:tabs>
          <w:tab w:val="left" w:pos="720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Как и в предыдущие годы, приоритетом в деятельности Контрольно-счетной палаты города Мегиона на 2026 год остается не применение наказаний как самоцель, а выявление рисков нарушения законодате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льства, формирование результативных и действенных мер по их предотвращению и пресечению.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/>
        <w:ind w:left="5245"/>
        <w:jc w:val="both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15</w:t>
    </w:r>
    <w:r>
      <w:fldChar w:fldCharType="end"/>
    </w:r>
    <w:r/>
  </w:p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93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5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1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1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7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8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5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41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84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8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5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41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84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71" w:hanging="360"/>
      </w:pPr>
      <w:rPr>
        <w:rFonts w:ascii="Arial" w:hAnsi="Arial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07" w:hanging="720"/>
      </w:pPr>
      <w:rPr>
        <w:rFonts w:ascii="Arial" w:hAnsi="Arial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67" w:hanging="720"/>
      </w:pPr>
      <w:rPr>
        <w:rFonts w:ascii="Arial" w:hAnsi="Arial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87" w:hanging="1080"/>
      </w:pPr>
      <w:rPr>
        <w:rFonts w:ascii="Arial" w:hAnsi="Arial"/>
        <w:sz w:val="2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7" w:hanging="1080"/>
      </w:pPr>
      <w:rPr>
        <w:rFonts w:ascii="Arial" w:hAnsi="Arial"/>
        <w:sz w:val="2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167" w:hanging="1440"/>
      </w:pPr>
      <w:rPr>
        <w:rFonts w:ascii="Arial" w:hAnsi="Arial"/>
        <w:sz w:val="2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27" w:hanging="1440"/>
      </w:pPr>
      <w:rPr>
        <w:rFonts w:ascii="Arial" w:hAnsi="Arial"/>
        <w:sz w:val="2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47" w:hanging="1800"/>
      </w:pPr>
      <w:rPr>
        <w:rFonts w:ascii="Arial" w:hAnsi="Arial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24"/>
    <w:link w:val="716"/>
    <w:uiPriority w:val="9"/>
    <w:rPr>
      <w:rFonts w:ascii="Arial" w:hAnsi="Arial" w:eastAsia="Arial" w:cs="Arial"/>
      <w:sz w:val="34"/>
    </w:rPr>
  </w:style>
  <w:style w:type="character" w:styleId="702">
    <w:name w:val="Heading 4 Char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4"/>
    <w:link w:val="737"/>
    <w:uiPriority w:val="10"/>
    <w:rPr>
      <w:sz w:val="48"/>
      <w:szCs w:val="48"/>
    </w:rPr>
  </w:style>
  <w:style w:type="character" w:styleId="709">
    <w:name w:val="Subtitle Char"/>
    <w:basedOn w:val="724"/>
    <w:link w:val="739"/>
    <w:uiPriority w:val="11"/>
    <w:rPr>
      <w:sz w:val="24"/>
      <w:szCs w:val="24"/>
    </w:rPr>
  </w:style>
  <w:style w:type="character" w:styleId="710">
    <w:name w:val="Quote Char"/>
    <w:link w:val="741"/>
    <w:uiPriority w:val="29"/>
    <w:rPr>
      <w:i/>
    </w:rPr>
  </w:style>
  <w:style w:type="character" w:styleId="711">
    <w:name w:val="Intense Quote Char"/>
    <w:link w:val="743"/>
    <w:uiPriority w:val="30"/>
    <w:rPr>
      <w:i/>
    </w:rPr>
  </w:style>
  <w:style w:type="character" w:styleId="712">
    <w:name w:val="Caption Char"/>
    <w:basedOn w:val="749"/>
    <w:link w:val="747"/>
    <w:uiPriority w:val="99"/>
  </w:style>
  <w:style w:type="character" w:styleId="713">
    <w:name w:val="Endnote Text Char"/>
    <w:link w:val="881"/>
    <w:uiPriority w:val="99"/>
    <w:rPr>
      <w:sz w:val="20"/>
    </w:rPr>
  </w:style>
  <w:style w:type="paragraph" w:styleId="71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15">
    <w:name w:val="Heading 1"/>
    <w:basedOn w:val="714"/>
    <w:next w:val="714"/>
    <w:link w:val="72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2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link w:val="905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718">
    <w:name w:val="Heading 4"/>
    <w:basedOn w:val="714"/>
    <w:next w:val="714"/>
    <w:link w:val="73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37">
    <w:name w:val="Title"/>
    <w:basedOn w:val="714"/>
    <w:next w:val="714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Заголовок Знак"/>
    <w:link w:val="737"/>
    <w:uiPriority w:val="10"/>
    <w:rPr>
      <w:sz w:val="48"/>
      <w:szCs w:val="48"/>
    </w:rPr>
  </w:style>
  <w:style w:type="paragraph" w:styleId="739">
    <w:name w:val="Subtitle"/>
    <w:basedOn w:val="714"/>
    <w:next w:val="714"/>
    <w:link w:val="740"/>
    <w:uiPriority w:val="11"/>
    <w:qFormat/>
    <w:pPr>
      <w:spacing w:before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4"/>
    <w:next w:val="714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4"/>
    <w:next w:val="714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4"/>
    <w:link w:val="9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746" w:customStyle="1">
    <w:name w:val="Header Char"/>
    <w:uiPriority w:val="99"/>
  </w:style>
  <w:style w:type="paragraph" w:styleId="747">
    <w:name w:val="Footer"/>
    <w:basedOn w:val="714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714"/>
    <w:next w:val="714"/>
    <w:link w:val="75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725"/>
    <w:uiPriority w:val="59"/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rPr>
      <w:color w:val="0000ff"/>
      <w:u w:val="single"/>
    </w:rPr>
  </w:style>
  <w:style w:type="paragraph" w:styleId="878">
    <w:name w:val="footnote text"/>
    <w:basedOn w:val="714"/>
    <w:link w:val="90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9" w:customStyle="1">
    <w:name w:val="Footnote Text Char"/>
    <w:uiPriority w:val="99"/>
    <w:rPr>
      <w:sz w:val="18"/>
    </w:rPr>
  </w:style>
  <w:style w:type="character" w:styleId="880">
    <w:name w:val="footnote reference"/>
    <w:rPr>
      <w:vertAlign w:val="superscript"/>
    </w:rPr>
  </w:style>
  <w:style w:type="paragraph" w:styleId="881">
    <w:name w:val="endnote text"/>
    <w:basedOn w:val="714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4"/>
    <w:next w:val="714"/>
    <w:uiPriority w:val="39"/>
    <w:unhideWhenUsed/>
    <w:pPr>
      <w:spacing w:after="57"/>
    </w:pPr>
  </w:style>
  <w:style w:type="paragraph" w:styleId="885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6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7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8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9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0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1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2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4"/>
    <w:next w:val="714"/>
    <w:uiPriority w:val="99"/>
    <w:unhideWhenUsed/>
    <w:pPr>
      <w:spacing w:after="0"/>
    </w:pPr>
  </w:style>
  <w:style w:type="paragraph" w:styleId="895" w:customStyle="1">
    <w:name w:val="Обычный.1"/>
    <w:pPr>
      <w:ind w:firstLine="709"/>
      <w:jc w:val="both"/>
      <w:spacing w:after="20"/>
    </w:pPr>
    <w:rPr>
      <w:rFonts w:ascii="Times New Roman" w:hAnsi="Times New Roman" w:eastAsia="Times New Roman"/>
      <w:sz w:val="24"/>
      <w:lang w:eastAsia="ru-RU"/>
    </w:rPr>
  </w:style>
  <w:style w:type="paragraph" w:styleId="896">
    <w:name w:val="List Paragraph"/>
    <w:basedOn w:val="714"/>
    <w:pPr>
      <w:contextualSpacing/>
      <w:ind w:left="720"/>
      <w:spacing w:after="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7">
    <w:name w:val="Body Text Indent"/>
    <w:basedOn w:val="714"/>
    <w:link w:val="898"/>
    <w:pPr>
      <w:ind w:left="283"/>
      <w:spacing w:after="120" w:line="240" w:lineRule="auto"/>
    </w:pPr>
    <w:rPr>
      <w:rFonts w:ascii="Times New Roman" w:hAnsi="Times New Roman" w:eastAsia="Times New Roman"/>
      <w:sz w:val="24"/>
      <w:szCs w:val="20"/>
      <w:lang w:val="en-US"/>
    </w:rPr>
  </w:style>
  <w:style w:type="character" w:styleId="898" w:customStyle="1">
    <w:name w:val="Основной текст с отступом Знак"/>
    <w:link w:val="897"/>
    <w:rPr>
      <w:rFonts w:ascii="Times New Roman" w:hAnsi="Times New Roman" w:eastAsia="Times New Roman"/>
      <w:sz w:val="24"/>
    </w:rPr>
  </w:style>
  <w:style w:type="paragraph" w:styleId="899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styleId="900" w:customStyle="1">
    <w:name w:val="ConsNormal"/>
    <w:pPr>
      <w:ind w:firstLine="720"/>
      <w:widowControl w:val="off"/>
    </w:pPr>
    <w:rPr>
      <w:rFonts w:ascii="Arial" w:hAnsi="Arial"/>
      <w:lang w:eastAsia="ar-SA"/>
    </w:rPr>
  </w:style>
  <w:style w:type="character" w:styleId="901" w:customStyle="1">
    <w:name w:val="Верхний колонтитул Знак"/>
    <w:link w:val="745"/>
    <w:uiPriority w:val="99"/>
    <w:rPr>
      <w:sz w:val="22"/>
      <w:szCs w:val="22"/>
      <w:lang w:eastAsia="en-US"/>
    </w:rPr>
  </w:style>
  <w:style w:type="paragraph" w:styleId="902">
    <w:name w:val="Balloon Text"/>
    <w:basedOn w:val="714"/>
    <w:link w:val="90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03" w:customStyle="1">
    <w:name w:val="Текст выноски Знак"/>
    <w:link w:val="90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04" w:customStyle="1">
    <w:name w:val="Нижний колонтитул Знак"/>
    <w:link w:val="747"/>
    <w:uiPriority w:val="99"/>
    <w:rPr>
      <w:sz w:val="22"/>
      <w:szCs w:val="22"/>
      <w:lang w:eastAsia="en-US"/>
    </w:rPr>
  </w:style>
  <w:style w:type="character" w:styleId="905" w:customStyle="1">
    <w:name w:val="Заголовок 3 Знак"/>
    <w:link w:val="717"/>
    <w:rPr>
      <w:rFonts w:ascii="Times New Roman" w:hAnsi="Times New Roman" w:eastAsia="Times New Roman"/>
      <w:b/>
      <w:bCs/>
      <w:sz w:val="27"/>
      <w:szCs w:val="27"/>
    </w:rPr>
  </w:style>
  <w:style w:type="paragraph" w:styleId="906">
    <w:name w:val="Normal (Web)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7" w:customStyle="1">
    <w:name w:val="1"/>
    <w:basedOn w:val="714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908" w:customStyle="1">
    <w:name w:val="Знак Знак3"/>
    <w:basedOn w:val="714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styleId="909" w:customStyle="1">
    <w:name w:val="Текст сноски Знак"/>
    <w:link w:val="878"/>
    <w:rPr>
      <w:rFonts w:ascii="Times New Roman" w:hAnsi="Times New Roman" w:eastAsia="Times New Roman"/>
    </w:rPr>
  </w:style>
  <w:style w:type="paragraph" w:styleId="910" w:customStyle="1">
    <w:name w:val="ConsPlusNormal"/>
    <w:link w:val="917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11" w:customStyle="1">
    <w:name w:val="p18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2" w:customStyle="1">
    <w:name w:val="ConsPlusCell"/>
    <w:pPr>
      <w:widowControl w:val="off"/>
    </w:pPr>
    <w:rPr>
      <w:rFonts w:ascii="Arial" w:hAnsi="Arial" w:eastAsia="Times New Roman" w:cs="Arial"/>
      <w:lang w:eastAsia="ru-RU"/>
    </w:rPr>
  </w:style>
  <w:style w:type="character" w:styleId="913">
    <w:name w:val="Strong"/>
    <w:uiPriority w:val="22"/>
    <w:qFormat/>
    <w:rPr>
      <w:b/>
      <w:bCs/>
    </w:rPr>
  </w:style>
  <w:style w:type="paragraph" w:styleId="914">
    <w:name w:val="Body Text"/>
    <w:basedOn w:val="714"/>
    <w:link w:val="915"/>
    <w:uiPriority w:val="99"/>
    <w:unhideWhenUsed/>
    <w:pPr>
      <w:spacing w:after="120"/>
    </w:pPr>
  </w:style>
  <w:style w:type="character" w:styleId="915" w:customStyle="1">
    <w:name w:val="Основной текст Знак"/>
    <w:link w:val="914"/>
    <w:uiPriority w:val="99"/>
    <w:rPr>
      <w:sz w:val="22"/>
      <w:szCs w:val="22"/>
      <w:lang w:eastAsia="en-US"/>
    </w:rPr>
  </w:style>
  <w:style w:type="paragraph" w:styleId="916" w:customStyle="1">
    <w:name w:val="Знак Знак3 Знак Знак Знак Знак Знак Знак Знак Знак Знак Знак Знак Знак Знак Знак"/>
    <w:basedOn w:val="714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styleId="917" w:customStyle="1">
    <w:name w:val="ConsPlusNormal Знак"/>
    <w:link w:val="910"/>
    <w:rPr>
      <w:rFonts w:ascii="Arial" w:hAnsi="Arial" w:eastAsia="Times New Roman" w:cs="Arial"/>
    </w:rPr>
  </w:style>
  <w:style w:type="character" w:styleId="918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spmeg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Бобрик Валентина Васильевна</dc:creator>
  <cp:revision>37</cp:revision>
  <dcterms:created xsi:type="dcterms:W3CDTF">2025-02-10T09:39:00Z</dcterms:created>
  <dcterms:modified xsi:type="dcterms:W3CDTF">2026-02-27T11:59:10Z</dcterms:modified>
  <cp:version>1048576</cp:version>
</cp:coreProperties>
</file>