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Проект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28647" cy="583437"/>
                <wp:effectExtent l="6350" t="6350" r="6350" b="635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428647" cy="5834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3.75pt;height:45.94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0000ff"/>
          <w:sz w:val="20"/>
          <w:szCs w:val="20"/>
        </w:rPr>
      </w:pPr>
      <w:r>
        <w:rPr>
          <w:b/>
          <w:color w:val="0000ff"/>
          <w:sz w:val="20"/>
          <w:szCs w:val="20"/>
        </w:rPr>
        <w:t xml:space="preserve">ХАНТЫ – МАНСИЙСКИЙ АВТОНОМНЫЙ ОКРУГ - ЮГРА</w:t>
      </w:r>
      <w:r>
        <w:rPr>
          <w:b/>
          <w:color w:val="0000ff"/>
          <w:sz w:val="20"/>
          <w:szCs w:val="20"/>
        </w:rPr>
      </w:r>
      <w:r>
        <w:rPr>
          <w:b/>
          <w:color w:val="0000ff"/>
          <w:sz w:val="20"/>
          <w:szCs w:val="20"/>
        </w:rPr>
      </w:r>
    </w:p>
    <w:p>
      <w:pPr>
        <w:ind w:left="-108"/>
        <w:jc w:val="center"/>
        <w:rPr>
          <w:b/>
          <w:color w:val="0000ff"/>
          <w:sz w:val="20"/>
          <w:szCs w:val="20"/>
        </w:rPr>
      </w:pPr>
      <w:r>
        <w:rPr>
          <w:b/>
          <w:color w:val="0000ff"/>
          <w:sz w:val="20"/>
          <w:szCs w:val="20"/>
        </w:rPr>
        <w:t xml:space="preserve">ТЮМЕНСКАЯ ОБЛАСТЬ</w:t>
      </w:r>
      <w:r>
        <w:rPr>
          <w:b/>
          <w:color w:val="0000ff"/>
          <w:sz w:val="20"/>
          <w:szCs w:val="20"/>
        </w:rPr>
      </w:r>
      <w:r>
        <w:rPr>
          <w:b/>
          <w:color w:val="0000ff"/>
          <w:sz w:val="20"/>
          <w:szCs w:val="20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color w:val="0000ff"/>
          <w:sz w:val="20"/>
          <w:szCs w:val="20"/>
        </w:rPr>
        <w:t xml:space="preserve">ПРЕДСТАВИТЕЛЬНЫЙ ОРГАН МУНИЦИПАЛЬНОГО ОБРАЗОВАНИЯ</w: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ff0000"/>
          <w:sz w:val="32"/>
          <w:szCs w:val="20"/>
        </w:rPr>
      </w:pPr>
      <w:r>
        <w:rPr>
          <w:b/>
          <w:color w:val="ff0000"/>
          <w:sz w:val="32"/>
          <w:szCs w:val="20"/>
        </w:rPr>
        <w:t xml:space="preserve">ДУМА ГОРОДА МЕГИОНА</w:t>
      </w:r>
      <w:r>
        <w:rPr>
          <w:b/>
          <w:color w:val="ff0000"/>
          <w:sz w:val="32"/>
          <w:szCs w:val="20"/>
        </w:rPr>
      </w:r>
      <w:r>
        <w:rPr>
          <w:b/>
          <w:color w:val="ff0000"/>
          <w:sz w:val="32"/>
          <w:szCs w:val="20"/>
        </w:rPr>
      </w:r>
    </w:p>
    <w:p>
      <w:pPr>
        <w:ind w:left="-108"/>
        <w:jc w:val="center"/>
        <w:keepNext/>
        <w:spacing w:before="240" w:after="60"/>
        <w:rPr>
          <w:b/>
          <w:bCs/>
          <w:iCs/>
          <w:color w:val="ff0000"/>
          <w:sz w:val="28"/>
          <w:szCs w:val="28"/>
        </w:rPr>
        <w:outlineLvl w:val="1"/>
      </w:pPr>
      <w:r>
        <w:rPr>
          <w:b/>
          <w:bCs/>
          <w:iCs/>
          <w:color w:val="ff0000"/>
          <w:sz w:val="28"/>
          <w:szCs w:val="28"/>
        </w:rPr>
        <w:t xml:space="preserve">РЕШЕНИЕ</w:t>
      </w:r>
      <w:r>
        <w:rPr>
          <w:b/>
          <w:bCs/>
          <w:iCs/>
          <w:color w:val="ff0000"/>
          <w:sz w:val="28"/>
          <w:szCs w:val="28"/>
        </w:rPr>
      </w:r>
      <w:r>
        <w:rPr>
          <w:b/>
          <w:bCs/>
          <w:iCs/>
          <w:color w:val="ff0000"/>
          <w:sz w:val="28"/>
          <w:szCs w:val="28"/>
        </w:rPr>
      </w:r>
    </w:p>
    <w:p>
      <w:pPr>
        <w:ind w:left="-108"/>
        <w:jc w:val="center"/>
        <w:rPr>
          <w:color w:val="0000ff"/>
        </w:rPr>
      </w:pPr>
      <w:r>
        <w:rPr>
          <w:color w:val="0000ff"/>
        </w:rPr>
      </w:r>
      <w:r>
        <w:rPr>
          <w:color w:val="0000ff"/>
        </w:rPr>
      </w:r>
      <w:r>
        <w:rPr>
          <w:color w:val="0000ff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«___» ________ 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№ 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О внесении </w:t>
      </w:r>
      <w:r>
        <w:rPr>
          <w:bCs/>
          <w:sz w:val="24"/>
          <w:szCs w:val="24"/>
          <w:shd w:val="clear" w:color="auto" w:fill="ffffff"/>
        </w:rPr>
        <w:t xml:space="preserve">изменений</w:t>
      </w:r>
      <w:r>
        <w:rPr>
          <w:bCs/>
          <w:sz w:val="24"/>
          <w:szCs w:val="24"/>
          <w:shd w:val="clear" w:color="auto" w:fill="ffffff"/>
        </w:rPr>
        <w:t xml:space="preserve"> в решение </w:t>
      </w:r>
      <w:r>
        <w:rPr>
          <w:bCs/>
          <w:sz w:val="24"/>
          <w:szCs w:val="24"/>
          <w:shd w:val="clear" w:color="auto" w:fill="ffffff"/>
        </w:rPr>
      </w:r>
      <w:r>
        <w:rPr>
          <w:bCs/>
          <w:sz w:val="24"/>
          <w:szCs w:val="24"/>
          <w:shd w:val="clear" w:color="auto" w:fill="ffffff"/>
        </w:rPr>
      </w:r>
    </w:p>
    <w:p>
      <w:pPr>
        <w:widowControl w:val="off"/>
        <w:rPr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Думы города </w:t>
      </w:r>
      <w:r>
        <w:rPr>
          <w:bCs/>
          <w:sz w:val="24"/>
          <w:szCs w:val="24"/>
          <w:shd w:val="clear" w:color="auto" w:fill="ffffff"/>
        </w:rPr>
        <w:t xml:space="preserve">Мегиона</w:t>
      </w:r>
      <w:r>
        <w:rPr>
          <w:bCs/>
          <w:sz w:val="24"/>
          <w:szCs w:val="24"/>
          <w:shd w:val="clear" w:color="auto" w:fill="ffffff"/>
        </w:rPr>
        <w:t xml:space="preserve"> </w:t>
      </w:r>
      <w:r>
        <w:rPr>
          <w:bCs/>
          <w:sz w:val="24"/>
          <w:szCs w:val="24"/>
          <w:shd w:val="clear" w:color="auto" w:fill="ffffff"/>
        </w:rPr>
      </w:r>
      <w:r>
        <w:rPr>
          <w:sz w:val="24"/>
          <w:szCs w:val="24"/>
          <w:shd w:val="clear" w:color="auto" w:fill="ffffff"/>
        </w:rPr>
      </w:r>
      <w:r>
        <w:rPr>
          <w:bCs/>
          <w:sz w:val="24"/>
          <w:szCs w:val="24"/>
          <w:shd w:val="clear" w:color="auto" w:fill="ffffff"/>
        </w:rPr>
        <w:t xml:space="preserve">от </w:t>
      </w:r>
      <w:r>
        <w:rPr>
          <w:bCs/>
          <w:sz w:val="24"/>
          <w:szCs w:val="24"/>
          <w:shd w:val="clear" w:color="auto" w:fill="ffffff"/>
        </w:rPr>
        <w:t xml:space="preserve">30</w:t>
      </w:r>
      <w:r>
        <w:rPr>
          <w:bCs/>
          <w:sz w:val="24"/>
          <w:szCs w:val="24"/>
          <w:shd w:val="clear" w:color="auto" w:fill="ffffff"/>
        </w:rPr>
        <w:t xml:space="preserve">.05</w:t>
      </w:r>
      <w:r>
        <w:rPr>
          <w:bCs/>
          <w:sz w:val="24"/>
          <w:szCs w:val="24"/>
          <w:shd w:val="clear" w:color="auto" w:fill="ffffff"/>
        </w:rPr>
        <w:t xml:space="preserve">.20</w:t>
      </w:r>
      <w:r>
        <w:rPr>
          <w:bCs/>
          <w:sz w:val="24"/>
          <w:szCs w:val="24"/>
          <w:shd w:val="clear" w:color="auto" w:fill="ffffff"/>
        </w:rPr>
        <w:t xml:space="preserve">25 №458</w:t>
      </w:r>
      <w:r>
        <w:rPr>
          <w:bCs/>
          <w:sz w:val="24"/>
          <w:szCs w:val="24"/>
          <w:shd w:val="clear" w:color="auto" w:fill="ffffff"/>
        </w:rPr>
      </w:r>
    </w:p>
    <w:p>
      <w:pPr>
        <w:widowControl w:val="off"/>
        <w:rPr>
          <w:sz w:val="24"/>
          <w:szCs w:val="24"/>
        </w:rPr>
      </w:pPr>
      <w:r>
        <w:rPr>
          <w:bCs/>
          <w:sz w:val="24"/>
          <w:szCs w:val="24"/>
          <w:shd w:val="clear" w:color="auto" w:fill="ffffff"/>
        </w:rPr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оложении </w:t>
      </w:r>
      <w:r>
        <w:rPr>
          <w:bCs/>
          <w:sz w:val="24"/>
          <w:szCs w:val="24"/>
          <w:shd w:val="clear" w:color="auto" w:fill="ffffff"/>
        </w:rPr>
      </w:r>
      <w:r/>
      <w:r>
        <w:rPr>
          <w:sz w:val="24"/>
          <w:szCs w:val="24"/>
        </w:rPr>
        <w:t xml:space="preserve">о муниципальном жилищном 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контроле на территории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  <w:t xml:space="preserve">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Рассмотрев проект решения Думы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 «</w:t>
      </w:r>
      <w:r>
        <w:rPr>
          <w:bCs/>
          <w:sz w:val="24"/>
          <w:szCs w:val="24"/>
          <w:shd w:val="clear" w:color="auto" w:fill="ffffff"/>
        </w:rPr>
        <w:t xml:space="preserve">О внесении изменений</w:t>
      </w:r>
      <w:r>
        <w:rPr>
          <w:bCs/>
          <w:sz w:val="24"/>
          <w:szCs w:val="24"/>
          <w:shd w:val="clear" w:color="auto" w:fill="ffffff"/>
        </w:rPr>
        <w:t xml:space="preserve"> в решение Думы города </w:t>
      </w:r>
      <w:r>
        <w:rPr>
          <w:bCs/>
          <w:sz w:val="24"/>
          <w:szCs w:val="24"/>
          <w:shd w:val="clear" w:color="auto" w:fill="ffffff"/>
        </w:rPr>
        <w:t xml:space="preserve">Мегиона</w:t>
      </w:r>
      <w:r>
        <w:rPr>
          <w:bCs/>
          <w:sz w:val="24"/>
          <w:szCs w:val="24"/>
          <w:shd w:val="clear" w:color="auto" w:fill="ffffff"/>
        </w:rPr>
        <w:t xml:space="preserve"> от 30.05.2025 №458</w:t>
      </w:r>
      <w:r>
        <w:rPr>
          <w:sz w:val="24"/>
          <w:szCs w:val="24"/>
        </w:rPr>
        <w:t xml:space="preserve"> «О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оложении о муниципальном жилищном контроле на территории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 в соответствии с пунктом 3 п</w:t>
      </w:r>
      <w:r>
        <w:rPr>
          <w:sz w:val="24"/>
          <w:szCs w:val="24"/>
        </w:rPr>
        <w:t xml:space="preserve">остановления Правительства РФ от 23.05.2025 №718 «О внесении изменений в некоторые акты Правительства Российской Федерации»</w:t>
      </w:r>
      <w:r>
        <w:rPr>
          <w:sz w:val="24"/>
          <w:szCs w:val="24"/>
        </w:rPr>
        <w:t xml:space="preserve">, руководствуясь статьей 19 устава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, Дума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РЕШИЛА: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  <w:shd w:val="clear" w:color="auto" w:fill="ffffff"/>
        </w:rPr>
        <w:t xml:space="preserve">Внести в решение Думы города </w:t>
      </w:r>
      <w:r>
        <w:rPr>
          <w:sz w:val="24"/>
          <w:szCs w:val="24"/>
          <w:shd w:val="clear" w:color="auto" w:fill="ffffff"/>
        </w:rPr>
        <w:t xml:space="preserve">Мегиона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  <w:shd w:val="clear" w:color="auto" w:fill="ffffff"/>
        </w:rPr>
        <w:t xml:space="preserve">от </w:t>
      </w:r>
      <w:r>
        <w:rPr>
          <w:bCs/>
          <w:sz w:val="24"/>
          <w:szCs w:val="24"/>
          <w:shd w:val="clear" w:color="auto" w:fill="ffffff"/>
        </w:rPr>
        <w:t xml:space="preserve">30</w:t>
      </w:r>
      <w:r>
        <w:rPr>
          <w:bCs/>
          <w:sz w:val="24"/>
          <w:szCs w:val="24"/>
          <w:shd w:val="clear" w:color="auto" w:fill="ffffff"/>
        </w:rPr>
        <w:t xml:space="preserve">.05</w:t>
      </w:r>
      <w:r>
        <w:rPr>
          <w:bCs/>
          <w:sz w:val="24"/>
          <w:szCs w:val="24"/>
          <w:shd w:val="clear" w:color="auto" w:fill="ffffff"/>
        </w:rPr>
        <w:t xml:space="preserve">.20</w:t>
      </w:r>
      <w:r>
        <w:rPr>
          <w:bCs/>
          <w:sz w:val="24"/>
          <w:szCs w:val="24"/>
          <w:shd w:val="clear" w:color="auto" w:fill="ffffff"/>
        </w:rPr>
        <w:t xml:space="preserve">25 №458</w:t>
      </w:r>
      <w:r>
        <w:rPr>
          <w:sz w:val="24"/>
          <w:szCs w:val="24"/>
        </w:rPr>
        <w:t xml:space="preserve"> «О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оложении о</w:t>
      </w:r>
      <w:r>
        <w:rPr>
          <w:sz w:val="24"/>
          <w:szCs w:val="24"/>
        </w:rPr>
        <w:t xml:space="preserve"> муниципальном жилищном контроле на территории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следующ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е изменения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1.1.пункт 3.1.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раздела 3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оложения изложить в следующей редакции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rPr>
          <w:b w:val="0"/>
          <w:bCs w:val="0"/>
          <w:sz w:val="24"/>
          <w:szCs w:val="24"/>
          <w:highlight w:val="none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«</w:t>
      </w:r>
      <w:r>
        <w:rPr>
          <w:b w:val="0"/>
          <w:bCs w:val="0"/>
          <w:sz w:val="24"/>
          <w:szCs w:val="24"/>
        </w:rPr>
        <w:t xml:space="preserve">3.1.Профилактические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>
        <w:rPr>
          <w:b w:val="0"/>
          <w:bCs w:val="0"/>
          <w:sz w:val="24"/>
          <w:szCs w:val="24"/>
          <w:highlight w:val="white"/>
        </w:rPr>
        <w:t xml:space="preserve"> (далее – Программа профилактики), утвержденной руководителем контрольного органа и размещенной на официальном сайте </w:t>
      </w:r>
      <w:r>
        <w:rPr>
          <w:b w:val="0"/>
          <w:bCs w:val="0"/>
          <w:sz w:val="24"/>
          <w:szCs w:val="24"/>
        </w:rPr>
        <w:t xml:space="preserve">в сети «Интернет».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firstLine="540"/>
        <w:jc w:val="both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   1.2.Приложение 1 к Положению изложить в следующей редакции: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firstLine="540"/>
        <w:jc w:val="both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ндикатор риска нарушения обязательных требований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осуществлении муниципального жилищного контроля на территории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widowControl w:val="o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оценке </w:t>
      </w:r>
      <w:r>
        <w:rPr>
          <w:sz w:val="24"/>
          <w:szCs w:val="24"/>
        </w:rPr>
        <w:t xml:space="preserve">вероятности нарушения контролируемым</w:t>
      </w:r>
      <w:r>
        <w:rPr>
          <w:sz w:val="24"/>
          <w:szCs w:val="24"/>
        </w:rPr>
        <w:t xml:space="preserve"> лиц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м обязательных требований жилищного законодательства Российской Федерации в отношении муниципального жилищного фонда, использу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тся следующи</w:t>
      </w:r>
      <w:r>
        <w:rPr>
          <w:sz w:val="24"/>
          <w:szCs w:val="24"/>
        </w:rPr>
        <w:t xml:space="preserve">й</w:t>
      </w:r>
      <w:r>
        <w:rPr>
          <w:sz w:val="24"/>
          <w:szCs w:val="24"/>
        </w:rPr>
        <w:t xml:space="preserve"> индикатор риска: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Выявление в Государственной информационной системе жилищно-коммунального хозяйства (ГИС ЖКХ) двух и более в течении трех месяцев фактов несоответствия (расхождения) сведений об осуществляемой контролируемым лицом деятельности, связан</w:t>
      </w:r>
      <w:r>
        <w:rPr>
          <w:rFonts w:eastAsiaTheme="minorHAnsi"/>
          <w:sz w:val="24"/>
          <w:szCs w:val="24"/>
          <w:lang w:eastAsia="en-US"/>
        </w:rPr>
        <w:t xml:space="preserve">ной с управлением (обслуживанием) муниципального жилищного фонда и (или) с предоставлением жилищно-коммунальных услуг, со сведениями, полученными в порядке межведомственного взаимодействия, и (или) сведениями, имеющимися в распоряжении контрольного органа.</w:t>
      </w:r>
      <w:r>
        <w:rPr>
          <w:rFonts w:eastAsiaTheme="minorHAnsi"/>
          <w:sz w:val="24"/>
          <w:szCs w:val="24"/>
          <w:lang w:eastAsia="en-US"/>
        </w:rPr>
      </w:r>
      <w:r>
        <w:rPr>
          <w:rFonts w:eastAsiaTheme="minorHAnsi"/>
          <w:sz w:val="24"/>
          <w:szCs w:val="24"/>
          <w:lang w:eastAsia="en-US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tabs>
          <w:tab w:val="left" w:pos="709" w:leader="none"/>
        </w:tabs>
        <w:rPr>
          <w:b w:val="0"/>
          <w:bCs w:val="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4"/>
          <w:szCs w:val="24"/>
          <w:highlight w:val="none"/>
        </w:rPr>
        <w:t xml:space="preserve">1.3.подпункт 1) пункта 3 Приложения 2 к Положению изложить в следующей редакции: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/>
          <w:sz w:val="24"/>
          <w:szCs w:val="24"/>
          <w:u w:val="none"/>
        </w:rPr>
        <w:t xml:space="preserve">1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/>
          <w:sz w:val="24"/>
          <w:szCs w:val="24"/>
          <w:u w:val="none"/>
        </w:rPr>
        <w:t xml:space="preserve">) Ключевой показатель: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4"/>
          <w:szCs w:val="24"/>
          <w:u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/>
          <w:sz w:val="24"/>
          <w:szCs w:val="24"/>
          <w:u w:val="none"/>
        </w:rPr>
        <w:t xml:space="preserve">Коли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/>
          <w:sz w:val="24"/>
          <w:szCs w:val="24"/>
          <w:u w:val="none"/>
        </w:rPr>
        <w:t xml:space="preserve">чество граждан получивших травмы (погибших) в результате нарушения обязательных требований, установленных жилищным законодательством в отношении муниципального жилищного фонда, на тысячу граждан, проживающих на территории города Мегиона.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4"/>
          <w:szCs w:val="24"/>
          <w:u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/>
          <w:sz w:val="24"/>
          <w:szCs w:val="24"/>
          <w:u w:val="none"/>
        </w:rPr>
        <w:t xml:space="preserve">Значение ключевого показателя рассчитывается по формуле: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4"/>
          <w:szCs w:val="24"/>
          <w:u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/>
          <w:sz w:val="24"/>
          <w:szCs w:val="24"/>
          <w:u w:val="none"/>
        </w:rPr>
        <w:t xml:space="preserve">КП = Кпт * 1000 / Кпр, 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/>
          <w:sz w:val="24"/>
          <w:szCs w:val="24"/>
          <w:u w:val="none"/>
        </w:rPr>
        <w:t xml:space="preserve">где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4"/>
          <w:szCs w:val="24"/>
          <w:u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/>
          <w:sz w:val="24"/>
          <w:szCs w:val="24"/>
          <w:u w:val="none"/>
        </w:rPr>
        <w:t xml:space="preserve">КП - ключевой показатель </w:t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/>
          <w:sz w:val="24"/>
          <w:szCs w:val="24"/>
          <w:u w:val="none"/>
        </w:rPr>
        <w:t xml:space="preserve">Кпт - количество граждан, получивших травмы (погибших) в результате нарушения контролируемыми лицами обязательных треб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/>
          <w:sz w:val="24"/>
          <w:szCs w:val="24"/>
          <w:u w:val="none"/>
        </w:rPr>
        <w:t xml:space="preserve">ований, установленных жилищным законодательством в отношении муниципального жилищного фонда, на тысячу граждан, проживающих на территории города Мегиона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4"/>
          <w:szCs w:val="24"/>
          <w:u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/>
          <w:sz w:val="24"/>
          <w:szCs w:val="24"/>
          <w:u w:val="none"/>
        </w:rPr>
        <w:t xml:space="preserve">Кпр - количество проживающих граждан на территории города Мегиона;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Материальный ущерб, причинённый муниципальному жилищному фонду в результате нарушения контролируемыми лицами обязательных требований, указанных в пунктах 1 - 12 части 1 статьи 20 Жилищного кодекса Российской Федерации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4"/>
          <w:szCs w:val="24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/>
          <w:sz w:val="24"/>
          <w:szCs w:val="24"/>
          <w:u w:val="none"/>
        </w:rPr>
        <w:t xml:space="preserve">Значение ключевого показателя рассчитывается по формуле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bCs w:val="0"/>
          <w:i w:val="0"/>
          <w:sz w:val="24"/>
          <w:szCs w:val="24"/>
        </w:rPr>
      </w:r>
      <w:r>
        <w:rPr>
          <w:rFonts w:ascii="Times New Roman" w:hAnsi="Times New Roman" w:eastAsia="Times New Roman" w:cs="Times New Roman"/>
          <w:bCs w:val="0"/>
          <w:i w:val="0"/>
          <w:sz w:val="24"/>
          <w:szCs w:val="24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КП = Ср / Сб * 100%, где 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КП - ключевой показатель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р - стоимость ремонтно-восстановительных работ муниципального жилого фонда, которые необходимо выполнить в результате нарушения контролируемыми лицами обязательных требований, указанных в пунктах 1 - 12 части 1 статьи 20 Жилищного кодекса Российской Федера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ции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Сб - балансовая стоимость муниципального жилищного фонда.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tabs>
          <w:tab w:val="left" w:pos="709" w:leader="none"/>
        </w:tabs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атериальный ущерб, причинённый гражданам, организациям и государству в результате нарушения контролируемыми лицами обязательных требований, предусмотренных частями 2.2, 2.3 статьи 161 Жилищного кодекса Российской Федерации в отношении муниципального жилищн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ого фонда, в процентах от валового регионального продукта.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tabs>
          <w:tab w:val="left" w:pos="709" w:leader="none"/>
        </w:tabs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Значение ключевого показателя рассчитывается по формуле: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tabs>
          <w:tab w:val="left" w:pos="709" w:leader="none"/>
        </w:tabs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Су*100/ВРП, где 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tabs>
          <w:tab w:val="left" w:pos="709" w:leader="none"/>
        </w:tabs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Су - сумма ущерба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tabs>
          <w:tab w:val="left" w:pos="709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ВРП – валовый региональный продукт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676"/>
        <w:ind w:left="0" w:right="0" w:firstLine="709"/>
        <w:jc w:val="both"/>
        <w:spacing w:before="0" w:beforeAutospacing="0" w:after="0" w:afterAutospacing="0" w:line="17" w:lineRule="atLeast"/>
        <w:tabs>
          <w:tab w:val="left" w:pos="709" w:leader="none"/>
        </w:tabs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Целевое значение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ключевого показателя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определяется путем 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роцентного снижения значения ключевого показателя (или его нулевое значение) к аналогичному периоду прошлого года.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».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shd w:val="clear" w:color="auto" w:fill="ffffff"/>
        </w:rPr>
        <w:t xml:space="preserve">Настоящее решение вступает в силу после его официального опубликования.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54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8"/>
        <w:gridCol w:w="4861"/>
      </w:tblGrid>
      <w:tr>
        <w:tblPrEx/>
        <w:trPr/>
        <w:tc>
          <w:tcPr>
            <w:tcW w:w="492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Думы города </w:t>
            </w:r>
            <w:r>
              <w:rPr>
                <w:sz w:val="24"/>
                <w:szCs w:val="24"/>
              </w:rPr>
              <w:t xml:space="preserve">Мегиона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 </w:t>
            </w:r>
            <w:r>
              <w:rPr>
                <w:sz w:val="24"/>
                <w:szCs w:val="24"/>
              </w:rPr>
              <w:t xml:space="preserve">В.С.Заднепровская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</w:t>
            </w:r>
            <w:r>
              <w:rPr>
                <w:sz w:val="24"/>
                <w:szCs w:val="24"/>
              </w:rPr>
              <w:t xml:space="preserve">лава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города  </w:t>
            </w:r>
            <w:r>
              <w:rPr>
                <w:sz w:val="24"/>
                <w:szCs w:val="24"/>
              </w:rPr>
              <w:t xml:space="preserve">Мегиона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7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</w:t>
            </w:r>
            <w:r>
              <w:rPr>
                <w:sz w:val="24"/>
                <w:szCs w:val="24"/>
              </w:rPr>
              <w:t xml:space="preserve">А.В.Петриченко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г.Мегион</w:t>
      </w:r>
      <w:r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г.Мегион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«__</w:t>
      </w:r>
      <w:r>
        <w:rPr>
          <w:sz w:val="24"/>
          <w:szCs w:val="24"/>
        </w:rPr>
        <w:t xml:space="preserve">_»  _</w:t>
      </w:r>
      <w:r>
        <w:rPr>
          <w:sz w:val="24"/>
          <w:szCs w:val="24"/>
        </w:rPr>
        <w:t xml:space="preserve">__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 2025</w:t>
      </w:r>
      <w:r>
        <w:rPr>
          <w:sz w:val="24"/>
          <w:szCs w:val="24"/>
        </w:rPr>
        <w:t xml:space="preserve">                                                                               « ___»  ___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2025</w:t>
      </w:r>
      <w:r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>
        <w:tblPrEx/>
        <w:trPr/>
        <w:tc>
          <w:tcPr>
            <w:shd w:val="clear" w:color="ffffff" w:fill="ffffff"/>
            <w:tcW w:w="0" w:type="auto"/>
            <w:vAlign w:val="center"/>
            <w:textDirection w:val="lrTb"/>
            <w:noWrap w:val="false"/>
          </w:tcPr>
          <w:p>
            <w:pPr>
              <w:ind w:firstLine="709"/>
              <w:tabs>
                <w:tab w:val="left" w:pos="709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widowControl w:val="off"/>
        <w:tabs>
          <w:tab w:val="left" w:pos="709" w:leader="none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6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6"/>
    <w:link w:val="658"/>
    <w:uiPriority w:val="9"/>
    <w:rPr>
      <w:rFonts w:ascii="Arial" w:hAnsi="Arial" w:eastAsia="Arial" w:cs="Arial"/>
      <w:sz w:val="40"/>
      <w:szCs w:val="40"/>
    </w:rPr>
  </w:style>
  <w:style w:type="character" w:styleId="660">
    <w:name w:val="Heading 2 Char"/>
    <w:basedOn w:val="836"/>
    <w:link w:val="835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4"/>
    <w:next w:val="834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6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6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6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6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6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6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6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834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4"/>
    <w:next w:val="834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6"/>
    <w:link w:val="677"/>
    <w:uiPriority w:val="10"/>
    <w:rPr>
      <w:sz w:val="48"/>
      <w:szCs w:val="48"/>
    </w:rPr>
  </w:style>
  <w:style w:type="paragraph" w:styleId="679">
    <w:name w:val="Subtitle"/>
    <w:basedOn w:val="834"/>
    <w:next w:val="834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6"/>
    <w:link w:val="679"/>
    <w:uiPriority w:val="11"/>
    <w:rPr>
      <w:sz w:val="24"/>
      <w:szCs w:val="24"/>
    </w:rPr>
  </w:style>
  <w:style w:type="paragraph" w:styleId="681">
    <w:name w:val="Quote"/>
    <w:basedOn w:val="834"/>
    <w:next w:val="834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4"/>
    <w:next w:val="834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4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6"/>
    <w:link w:val="685"/>
    <w:uiPriority w:val="99"/>
  </w:style>
  <w:style w:type="paragraph" w:styleId="687">
    <w:name w:val="Footer"/>
    <w:basedOn w:val="834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6"/>
    <w:link w:val="687"/>
    <w:uiPriority w:val="99"/>
  </w:style>
  <w:style w:type="paragraph" w:styleId="689">
    <w:name w:val="Caption"/>
    <w:basedOn w:val="834"/>
    <w:next w:val="834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836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6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6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35">
    <w:name w:val="Heading 2"/>
    <w:next w:val="834"/>
    <w:link w:val="840"/>
    <w:uiPriority w:val="9"/>
    <w:unhideWhenUsed/>
    <w:qFormat/>
    <w:pPr>
      <w:ind w:left="10" w:right="63" w:hanging="10"/>
      <w:jc w:val="center"/>
      <w:keepLines/>
      <w:keepNext/>
      <w:spacing w:after="7" w:line="250" w:lineRule="auto"/>
      <w:outlineLvl w:val="1"/>
    </w:pPr>
    <w:rPr>
      <w:rFonts w:ascii="Arial" w:hAnsi="Arial" w:eastAsia="Arial" w:cs="Arial"/>
      <w:b/>
      <w:color w:val="000000"/>
      <w:sz w:val="24"/>
      <w:lang w:eastAsia="ru-RU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16"/>
      <w:szCs w:val="16"/>
      <w:lang w:eastAsia="ru-RU"/>
    </w:rPr>
  </w:style>
  <w:style w:type="character" w:styleId="840" w:customStyle="1">
    <w:name w:val="Заголовок 2 Знак"/>
    <w:basedOn w:val="836"/>
    <w:link w:val="835"/>
    <w:uiPriority w:val="9"/>
    <w:rPr>
      <w:rFonts w:ascii="Arial" w:hAnsi="Arial" w:eastAsia="Arial" w:cs="Arial"/>
      <w:b/>
      <w:color w:val="000000"/>
      <w:sz w:val="24"/>
      <w:lang w:eastAsia="ru-RU"/>
    </w:rPr>
  </w:style>
  <w:style w:type="table" w:styleId="841" w:customStyle="1">
    <w:name w:val="Table Grid"/>
    <w:pPr>
      <w:spacing w:after="0" w:line="240" w:lineRule="auto"/>
    </w:pPr>
    <w:rPr>
      <w:rFonts w:eastAsiaTheme="minorEastAsia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42">
    <w:name w:val="Balloon Text"/>
    <w:basedOn w:val="834"/>
    <w:link w:val="84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3" w:customStyle="1">
    <w:name w:val="Текст выноски Знак"/>
    <w:basedOn w:val="836"/>
    <w:link w:val="84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Светлана Олеговна</dc:creator>
  <cp:keywords/>
  <dc:description/>
  <cp:revision>21</cp:revision>
  <dcterms:created xsi:type="dcterms:W3CDTF">2023-05-26T09:38:00Z</dcterms:created>
  <dcterms:modified xsi:type="dcterms:W3CDTF">2025-09-22T12:15:39Z</dcterms:modified>
</cp:coreProperties>
</file>