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Garamond" w:hAnsi="Garamond" w:eastAsia="Times New Roman"/>
          <w:sz w:val="20"/>
          <w:szCs w:val="20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w:t xml:space="preserve">                               </w:t>
      </w:r>
      <w:r>
        <w:rPr>
          <w:rFonts w:ascii="Garamond" w:hAnsi="Garamond" w:eastAsia="Times New Roman"/>
          <w:sz w:val="20"/>
          <w:szCs w:val="20"/>
        </w:rPr>
      </w:r>
      <w:r>
        <w:rPr>
          <w:rFonts w:ascii="Garamond" w:hAnsi="Garamond" w:eastAsia="Times New Roman"/>
          <w:sz w:val="20"/>
          <w:szCs w:val="20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bCs/>
          <w:sz w:val="20"/>
          <w:szCs w:val="20"/>
          <w:lang w:eastAsia="ru-RU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4805" cy="457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48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15pt;height:3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Garamond" w:hAnsi="Garamond" w:eastAsia="Times New Roman"/>
          <w:b/>
          <w:sz w:val="20"/>
          <w:szCs w:val="20"/>
          <w:lang w:eastAsia="ru-RU"/>
        </w:rPr>
        <w:t xml:space="preserve">  </w:t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bCs/>
          <w:sz w:val="20"/>
          <w:szCs w:val="20"/>
          <w:lang w:eastAsia="ru-RU"/>
        </w:rPr>
      </w:pP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/>
          <w:color w:val="0000ff"/>
          <w:sz w:val="24"/>
          <w:szCs w:val="24"/>
        </w:rPr>
        <w:t xml:space="preserve">» ________</w:t>
      </w:r>
      <w:r>
        <w:rPr>
          <w:rFonts w:ascii="Times New Roman" w:hAnsi="Times New Roman"/>
          <w:color w:val="0000ff"/>
          <w:sz w:val="24"/>
          <w:szCs w:val="24"/>
        </w:rPr>
        <w:t xml:space="preserve"> 2026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             № ___</w:t>
      </w: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ind w:left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Думы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Мегиона </w:t>
      </w:r>
      <w:r>
        <w:rPr>
          <w:rFonts w:ascii="Times New Roman" w:hAnsi="Times New Roman"/>
          <w:sz w:val="24"/>
          <w:szCs w:val="24"/>
        </w:rPr>
        <w:t xml:space="preserve">от 26.04.2010 № 26 «О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Порядке предоставления </w:t>
      </w:r>
      <w:r>
        <w:rPr>
          <w:rFonts w:ascii="Times New Roman" w:hAnsi="Times New Roman"/>
          <w:sz w:val="24"/>
          <w:szCs w:val="24"/>
        </w:rPr>
        <w:t xml:space="preserve">гарантий,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установленных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уставом города Мегиона, лицам,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замещающим муниципальные должности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 изменениями)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Рассмотрев проект решения Думы города Мегиона «О внесении изменений в решение Думы города Мегиона от 26.04.2010 № 26 «О Порядке предоста</w:t>
      </w:r>
      <w:r>
        <w:rPr>
          <w:rFonts w:ascii="Times New Roman" w:hAnsi="Times New Roman"/>
          <w:sz w:val="24"/>
          <w:szCs w:val="24"/>
        </w:rPr>
        <w:t xml:space="preserve">вления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гарантий, установленных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уставом города Мегиона, лицам, замещающим муниципальные должности» (с изменениями), руководствуясь статьей 19 устава города Мегиона, Дума города Мегиона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1. Внести в решение Думы города Мегиона от 26.04.2010 №26 «О Порядке предоставления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гарантий, установленных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уставом города Мегиона, лицам, замещающим муниципальные должности» (с изме</w:t>
      </w:r>
      <w:r>
        <w:rPr>
          <w:rFonts w:ascii="Times New Roman" w:hAnsi="Times New Roman"/>
          <w:sz w:val="24"/>
          <w:szCs w:val="24"/>
        </w:rPr>
        <w:t xml:space="preserve">нениями) следующие изменения: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1.1. Пункт 4 приложения 3 к решению Думы города Мегиона изложить в следующей редакции: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«4. 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Глава города, председатель Думы города с целью участия в заседаниях (мероприятиях) органов государственной власти Российской Федерации, органов государственной власти Ханты-Мансийского автономного округа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Югры, иных государственных органов Ханты-Мансийского автономного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Югры, органов местного самоу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правле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ния,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координационных и совещательных органов, в форумах, обучающих,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спортивных, общественных мероприятиях от имени и (или) в интересах муниципального образования, органа местного самоуправления, участия в мероприятиях по п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рофессиональному развитию, в том числе получения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дополнительного профессионального образования, </w:t>
      </w:r>
      <w:r/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иных выездных мероприятиях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принимают решение о сроке служебной командировк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самостоятельно при наличии документов, подтверждающих необходимость участия лица, замещающего муниципальную должность, в указанных заседаниях (мероприятиях): повестки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заседаний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, письма, приглашения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органов государственной власти Российской Федерации,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органов государственной власти Ханты-Мансийского автономного округа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–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Югры,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иных государственных органов Ханты-Мансийского автономного округа </w:t>
      </w:r>
      <w:r>
        <w:rPr>
          <w:rFonts w:ascii="Times New Roman" w:hAnsi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Югры, органов местного самоуправлени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я, их должностных лиц,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координационных и совещательных органов,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организаций, договоры (соглашения).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highlight w:val="none"/>
        </w:rPr>
      </w:r>
      <w:r/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Срок служебной командировки определяется с учетом объема, сложности и других особенностей выполнения служебного поручения вне постоянного места работы.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Председатель Контроль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но-счет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ной палаты в целях участия в заседаниях (мероприятиях) и при наличии подтверждающих документов, указанных в абзаце первом настоящего пункта, принимает решение о сроке командировки в отношении себя и аудитора Контрольно-счетной палаты самостоятельно.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Использование служебных командировок в личных целях не допускается.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 необходимости выезда в командировку для у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ч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астия в выездных мероприятиях при отсутствии подтверждающих документов, указанных в абзаце первом настоящего пункта, о каждом таком случае направления в служебную командировку лицо, замещающее муниципальную должность, предварительно уведомляет комисс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ию по противодействию коррупции в Думе города Мегиона (далее – Комиссия). </w:t>
      </w:r>
      <w:r>
        <w:rPr>
          <w:rFonts w:ascii="Times New Roman" w:hAnsi="Times New Roman" w:cs="Times New Roman"/>
          <w:sz w:val="24"/>
          <w:szCs w:val="24"/>
        </w:rPr>
        <w:t xml:space="preserve">Подача уведомления не влечет обязательного предварительного рассмотрения его Комиссией до фактического выезда в служебную командировку.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/>
      <w:r/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/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1.2. В пункте 5 </w:t>
      </w:r>
      <w:r>
        <w:rPr>
          <w:rFonts w:ascii="Times New Roman" w:hAnsi="Times New Roman"/>
          <w:sz w:val="24"/>
          <w:szCs w:val="24"/>
          <w:highlight w:val="none"/>
        </w:rPr>
        <w:t xml:space="preserve">приложения 3 к решению Думы города Мегиона слово «распоряжение» заменить словом «распоряжением».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566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21"/>
  </w:num>
  <w:num w:numId="5">
    <w:abstractNumId w:val="12"/>
  </w:num>
  <w:num w:numId="6">
    <w:abstractNumId w:val="2"/>
  </w:num>
  <w:num w:numId="7">
    <w:abstractNumId w:val="17"/>
  </w:num>
  <w:num w:numId="8">
    <w:abstractNumId w:val="6"/>
  </w:num>
  <w:num w:numId="9">
    <w:abstractNumId w:val="13"/>
  </w:num>
  <w:num w:numId="10">
    <w:abstractNumId w:val="23"/>
  </w:num>
  <w:num w:numId="11">
    <w:abstractNumId w:val="7"/>
  </w:num>
  <w:num w:numId="12">
    <w:abstractNumId w:val="9"/>
  </w:num>
  <w:num w:numId="13">
    <w:abstractNumId w:val="24"/>
  </w:num>
  <w:num w:numId="14">
    <w:abstractNumId w:val="0"/>
  </w:num>
  <w:num w:numId="15">
    <w:abstractNumId w:val="22"/>
  </w:num>
  <w:num w:numId="16">
    <w:abstractNumId w:val="18"/>
  </w:num>
  <w:num w:numId="17">
    <w:abstractNumId w:val="25"/>
  </w:num>
  <w:num w:numId="18">
    <w:abstractNumId w:val="8"/>
  </w:num>
  <w:num w:numId="19">
    <w:abstractNumId w:val="3"/>
  </w:num>
  <w:num w:numId="20">
    <w:abstractNumId w:val="19"/>
  </w:num>
  <w:num w:numId="21">
    <w:abstractNumId w:val="4"/>
  </w:num>
  <w:num w:numId="22">
    <w:abstractNumId w:val="16"/>
  </w:num>
  <w:num w:numId="23">
    <w:abstractNumId w:val="10"/>
  </w:num>
  <w:num w:numId="24">
    <w:abstractNumId w:val="15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19">
    <w:name w:val="Heading 1"/>
    <w:basedOn w:val="718"/>
    <w:link w:val="916"/>
    <w:uiPriority w:val="9"/>
    <w:qFormat/>
    <w:pPr>
      <w:spacing w:after="120" w:line="240" w:lineRule="auto"/>
      <w:pBdr>
        <w:bottom w:val="single" w:color="C4C4C3" w:sz="6" w:space="11"/>
      </w:pBdr>
      <w:outlineLvl w:val="0"/>
    </w:pPr>
    <w:rPr>
      <w:rFonts w:ascii="Times New Roman" w:hAnsi="Times New Roman" w:eastAsia="Times New Roman"/>
      <w:b/>
      <w:bCs/>
      <w:color w:val="4f4f4f"/>
      <w:sz w:val="29"/>
      <w:szCs w:val="29"/>
      <w:lang w:eastAsia="ru-RU"/>
    </w:rPr>
  </w:style>
  <w:style w:type="paragraph" w:styleId="720">
    <w:name w:val="Heading 2"/>
    <w:basedOn w:val="718"/>
    <w:next w:val="718"/>
    <w:link w:val="7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7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5">
    <w:name w:val="Heading 7"/>
    <w:basedOn w:val="718"/>
    <w:next w:val="718"/>
    <w:link w:val="7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6">
    <w:name w:val="Heading 8"/>
    <w:basedOn w:val="718"/>
    <w:next w:val="718"/>
    <w:link w:val="7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7">
    <w:name w:val="Heading 9"/>
    <w:basedOn w:val="718"/>
    <w:next w:val="718"/>
    <w:link w:val="7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8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28"/>
    <w:uiPriority w:val="10"/>
    <w:rPr>
      <w:sz w:val="48"/>
      <w:szCs w:val="48"/>
    </w:rPr>
  </w:style>
  <w:style w:type="character" w:styleId="740" w:customStyle="1">
    <w:name w:val="Subtitle Char"/>
    <w:basedOn w:val="728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Header Char"/>
    <w:basedOn w:val="728"/>
    <w:uiPriority w:val="99"/>
  </w:style>
  <w:style w:type="character" w:styleId="744" w:customStyle="1">
    <w:name w:val="Caption Char"/>
    <w:uiPriority w:val="99"/>
  </w:style>
  <w:style w:type="character" w:styleId="745" w:customStyle="1">
    <w:name w:val="Footnote Text Char"/>
    <w:uiPriority w:val="99"/>
    <w:rPr>
      <w:sz w:val="18"/>
    </w:rPr>
  </w:style>
  <w:style w:type="character" w:styleId="746" w:customStyle="1">
    <w:name w:val="Endnote Text Char"/>
    <w:uiPriority w:val="99"/>
    <w:rPr>
      <w:sz w:val="20"/>
    </w:rPr>
  </w:style>
  <w:style w:type="character" w:styleId="74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20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21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18"/>
    <w:uiPriority w:val="34"/>
    <w:qFormat/>
    <w:pPr>
      <w:contextualSpacing/>
      <w:ind w:left="720"/>
    </w:pPr>
  </w:style>
  <w:style w:type="paragraph" w:styleId="757">
    <w:name w:val="No Spacing"/>
    <w:uiPriority w:val="1"/>
    <w:qFormat/>
  </w:style>
  <w:style w:type="paragraph" w:styleId="758">
    <w:name w:val="Title"/>
    <w:basedOn w:val="718"/>
    <w:next w:val="718"/>
    <w:link w:val="759"/>
    <w:uiPriority w:val="10"/>
    <w:qFormat/>
    <w:pPr>
      <w:contextualSpacing/>
      <w:spacing w:before="300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rPr>
      <w:sz w:val="48"/>
      <w:szCs w:val="48"/>
    </w:rPr>
  </w:style>
  <w:style w:type="paragraph" w:styleId="760">
    <w:name w:val="Subtitle"/>
    <w:basedOn w:val="718"/>
    <w:next w:val="718"/>
    <w:link w:val="761"/>
    <w:uiPriority w:val="11"/>
    <w:qFormat/>
    <w:pPr>
      <w:spacing w:before="200"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rPr>
      <w:sz w:val="24"/>
      <w:szCs w:val="24"/>
    </w:rPr>
  </w:style>
  <w:style w:type="paragraph" w:styleId="762">
    <w:name w:val="Quote"/>
    <w:basedOn w:val="718"/>
    <w:next w:val="718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18"/>
    <w:next w:val="718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>
    <w:name w:val="Header"/>
    <w:basedOn w:val="718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 w:customStyle="1">
    <w:name w:val="Верхний колонтитул Знак"/>
    <w:link w:val="766"/>
    <w:uiPriority w:val="99"/>
  </w:style>
  <w:style w:type="paragraph" w:styleId="768">
    <w:name w:val="Footer"/>
    <w:basedOn w:val="718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 w:customStyle="1">
    <w:name w:val="Footer Char"/>
    <w:uiPriority w:val="99"/>
  </w:style>
  <w:style w:type="paragraph" w:styleId="770">
    <w:name w:val="Caption"/>
    <w:basedOn w:val="718"/>
    <w:next w:val="718"/>
    <w:link w:val="74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1" w:customStyle="1">
    <w:name w:val="Нижний колонтитул Знак"/>
    <w:link w:val="768"/>
    <w:uiPriority w:val="99"/>
  </w:style>
  <w:style w:type="table" w:styleId="77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718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18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18"/>
    <w:next w:val="718"/>
    <w:uiPriority w:val="39"/>
    <w:unhideWhenUsed/>
    <w:pPr>
      <w:spacing w:after="57"/>
    </w:pPr>
  </w:style>
  <w:style w:type="paragraph" w:styleId="906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907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908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909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910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911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912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913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18"/>
    <w:next w:val="718"/>
    <w:uiPriority w:val="99"/>
    <w:unhideWhenUsed/>
    <w:pPr>
      <w:spacing w:after="0"/>
    </w:pPr>
  </w:style>
  <w:style w:type="character" w:styleId="916" w:customStyle="1">
    <w:name w:val="Заголовок 1 Знак"/>
    <w:link w:val="719"/>
    <w:uiPriority w:val="9"/>
    <w:rPr>
      <w:rFonts w:ascii="Times New Roman" w:hAnsi="Times New Roman" w:eastAsia="Times New Roman"/>
      <w:b/>
      <w:bCs/>
      <w:color w:val="4f4f4f"/>
      <w:sz w:val="29"/>
      <w:szCs w:val="29"/>
    </w:rPr>
  </w:style>
  <w:style w:type="paragraph" w:styleId="917">
    <w:name w:val="Normal (Web)"/>
    <w:basedOn w:val="71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8">
    <w:name w:val="Strong"/>
    <w:uiPriority w:val="22"/>
    <w:qFormat/>
    <w:rPr>
      <w:b/>
      <w:bCs/>
    </w:rPr>
  </w:style>
  <w:style w:type="paragraph" w:styleId="919" w:customStyle="1">
    <w:name w:val="ConsPlusNormal"/>
    <w:rPr>
      <w:rFonts w:ascii="Tahoma" w:hAnsi="Tahoma" w:cs="Tahoma"/>
      <w:sz w:val="18"/>
      <w:szCs w:val="18"/>
      <w:lang w:eastAsia="ru-RU"/>
    </w:rPr>
  </w:style>
  <w:style w:type="character" w:styleId="920" w:customStyle="1">
    <w:name w:val="apple-converted-space"/>
  </w:style>
  <w:style w:type="paragraph" w:styleId="921">
    <w:name w:val="Balloon Text"/>
    <w:basedOn w:val="718"/>
    <w:link w:val="9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link w:val="921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Татьяна Павловна</dc:creator>
  <cp:lastModifiedBy>MaksimovaVE</cp:lastModifiedBy>
  <cp:revision>216</cp:revision>
  <dcterms:created xsi:type="dcterms:W3CDTF">2017-05-29T09:59:00Z</dcterms:created>
  <dcterms:modified xsi:type="dcterms:W3CDTF">2026-03-23T04:42:36Z</dcterms:modified>
  <cp:version>1048576</cp:version>
</cp:coreProperties>
</file>