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righ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ff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Cs w:val="20"/>
          <w:highlight w:val="white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b w:val="0"/>
          <w:bCs w:val="0"/>
          <w:color w:val="0000ff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ff"/>
          <w:highlight w:val="white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160939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42900" cy="466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highlight w:val="none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     № _____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97"/>
        <w:jc w:val="left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</w:rPr>
        <w:t xml:space="preserve">Об утверждении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</w:rPr>
        <w:t xml:space="preserve">Порядк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аз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начени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</w:r>
    </w:p>
    <w:p>
      <w:pPr>
        <w:pStyle w:val="897"/>
        <w:jc w:val="left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и проведения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публичных слушаний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</w:r>
    </w:p>
    <w:p>
      <w:pPr>
        <w:pStyle w:val="897"/>
        <w:jc w:val="left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территории города Мегиона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897"/>
        <w:ind w:firstLine="708"/>
        <w:jc w:val="both"/>
        <w:spacing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Рассмотрев проект решения Думы города Мегиона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Об утверждении</w:t>
      </w:r>
      <w:r>
        <w:rPr>
          <w:color w:val="000000" w:themeColor="text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Порядка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назначения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 и проведения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публичных слушаний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  <w:t xml:space="preserve">территории города Мегиона»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                                    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со статьей 47 Федерального закона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статьей 5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Закона Ханты-Мансийского автономного округа – Югры от 27.11.2025 № 97-оз                             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 отдельных вопросах организации местного самоуправления в Ханты-Мансийском автономном округе - Югре»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руководствуясь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статьями 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19 устава города Мегиона, Дума города Мегиона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7"/>
        <w:ind w:firstLine="708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</w:pPr>
      <w:r>
        <w:rPr>
          <w:color w:val="000000" w:themeColor="text1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-1"/>
          <w:sz w:val="24"/>
          <w:szCs w:val="24"/>
          <w:highlight w:val="white"/>
        </w:rPr>
      </w:r>
    </w:p>
    <w:p>
      <w:pPr>
        <w:pStyle w:val="897"/>
        <w:ind w:firstLine="708"/>
        <w:jc w:val="center"/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РЕШИЛА: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7"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1. Утвердить Порядок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назначения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 и проведения публичных слушаний на территории города Мегиона согласно приложению.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2. Признать утратившим силу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решение Думы города Мегиона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от 22.02.2024 №361                                              «Об утверждении Порядка организации и проведения публичных слушаний на территории города Мегиона»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3. Настоящее решение вступает в силу после его официального 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публикования.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tbl>
      <w:tblPr>
        <w:tblW w:w="0" w:type="auto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498"/>
      </w:tblGrid>
      <w:tr>
        <w:tblPrEx/>
        <w:trPr>
          <w:tblCellSpacing w:w="15" w:type="dxa"/>
        </w:trPr>
        <w:tc>
          <w:tcPr>
            <w:tcW w:w="0" w:type="auto"/>
            <w:vAlign w:val="center"/>
            <w:textDirection w:val="lrTb"/>
            <w:noWrap w:val="false"/>
          </w:tcPr>
          <w:tbl>
            <w:tblPr>
              <w:tblW w:w="9498" w:type="dxa"/>
              <w:tblCellSpacing w:w="15" w:type="dxa"/>
              <w:tblInd w:w="-45" w:type="dxa"/>
              <w:tblLayout w:type="fixed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4678"/>
              <w:gridCol w:w="4820"/>
            </w:tblGrid>
            <w:tr>
              <w:tblPrEx/>
              <w:trPr>
                <w:tblCellSpacing w:w="15" w:type="dxa"/>
              </w:trPr>
              <w:tc>
                <w:tcPr>
                  <w:tcW w:w="4633" w:type="dxa"/>
                  <w:vAlign w:val="center"/>
                  <w:textDirection w:val="lrTb"/>
                  <w:noWrap w:val="false"/>
                </w:tcPr>
                <w:p>
                  <w:pPr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Председатель Думы города Мегиона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В.С.Заднепровская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_________________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«____»___________202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75" w:type="dxa"/>
                  <w:vAlign w:val="center"/>
                  <w:textDirection w:val="lrTb"/>
                  <w:noWrap w:val="false"/>
                </w:tcPr>
                <w:p>
                  <w:pPr>
                    <w:ind w:left="535"/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Глава города Мегиона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ind w:left="535"/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А.В.Петриченко___________________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ind w:left="535"/>
                    <w:jc w:val="both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«___»_____________202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891"/>
        <w:ind w:firstLine="72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</w:rPr>
      </w:r>
    </w:p>
    <w:p>
      <w:pPr>
        <w:ind w:firstLine="720"/>
        <w:jc w:val="righ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  <w:t xml:space="preserve"> решению </w:t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  <w:t xml:space="preserve">Думы города Мегиона</w:t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</w:r>
    </w:p>
    <w:p>
      <w:pPr>
        <w:ind w:firstLine="720"/>
        <w:jc w:val="right"/>
        <w:spacing w:before="0" w:after="0" w:line="240" w:lineRule="auto"/>
        <w:rPr>
          <w:rFonts w:ascii="Times New Roman" w:hAnsi="Times New Roman" w:cs="Times New Roman"/>
          <w:b w:val="0"/>
          <w:bCs w:val="0"/>
          <w:color w:val="26282f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  <w:t xml:space="preserve">от _______2026 г. № ____</w:t>
      </w:r>
      <w:r>
        <w:rPr>
          <w:rFonts w:ascii="Times New Roman" w:hAnsi="Times New Roman" w:cs="Times New Roman"/>
          <w:b w:val="0"/>
          <w:bCs w:val="0"/>
          <w:color w:val="26282f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26282f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715"/>
        <w:contextualSpacing/>
        <w:ind w:firstLine="0"/>
        <w:jc w:val="center"/>
        <w:spacing w:before="108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  <w:t xml:space="preserve">ПОРЯДОК</w:t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</w:r>
    </w:p>
    <w:p>
      <w:pPr>
        <w:pStyle w:val="715"/>
        <w:contextualSpacing/>
        <w:ind w:firstLine="0"/>
        <w:jc w:val="center"/>
        <w:spacing w:before="108" w:after="0" w:afterAutospacing="0" w:line="240" w:lineRule="auto"/>
        <w:rPr>
          <w:rFonts w:ascii="Times New Roman" w:hAnsi="Times New Roman" w:cs="Times New Roman"/>
          <w:b w:val="0"/>
          <w:bCs w:val="0"/>
          <w:color w:val="26282f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  <w:t xml:space="preserve">назначения</w:t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  <w:t xml:space="preserve"> и проведения публичных слушаний на территории города Мегиона</w:t>
      </w:r>
      <w:r>
        <w:rPr>
          <w:rFonts w:ascii="Times New Roman" w:hAnsi="Times New Roman" w:cs="Times New Roman"/>
          <w:b w:val="0"/>
          <w:bCs w:val="0"/>
          <w:color w:val="26282f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26282f"/>
          <w:sz w:val="24"/>
          <w:szCs w:val="24"/>
          <w:highlight w:val="white"/>
        </w:rPr>
      </w:r>
    </w:p>
    <w:p>
      <w:pPr>
        <w:pStyle w:val="715"/>
        <w:contextualSpacing/>
        <w:ind w:firstLine="0"/>
        <w:jc w:val="center"/>
        <w:spacing w:before="108" w:after="0" w:afterAutospacing="0" w:line="240" w:lineRule="auto"/>
        <w:rPr>
          <w:rFonts w:ascii="Times New Roman" w:hAnsi="Times New Roman" w:cs="Times New Roman"/>
          <w:b/>
          <w:bCs/>
          <w:color w:val="26282f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  <w:highlight w:val="white"/>
        </w:rPr>
      </w:r>
    </w:p>
    <w:p>
      <w:pPr>
        <w:pStyle w:val="715"/>
        <w:contextualSpacing/>
        <w:ind w:firstLine="0"/>
        <w:jc w:val="center"/>
        <w:spacing w:before="108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  <w:t xml:space="preserve">1. Общие положения</w:t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</w:r>
    </w:p>
    <w:p>
      <w:pPr>
        <w:pStyle w:val="891"/>
        <w:contextualSpacing/>
        <w:ind w:firstLine="720"/>
        <w:jc w:val="both"/>
        <w:spacing w:before="0" w:after="0" w:afterAutospacing="0" w:line="240" w:lineRule="auto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891"/>
        <w:contextualSpacing/>
        <w:ind w:firstLine="720"/>
        <w:jc w:val="both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Настоящий Порядок разработан в соответствии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со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hyperlink r:id="rId15" w:tooltip="garantF1://76748717.28" w:history="1"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4"/>
            <w:szCs w:val="24"/>
            <w:highlight w:val="white"/>
          </w:rPr>
          <w:t xml:space="preserve">статьей 47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Федерального закона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статьей 5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Закона Ханты-Мансийского автономного                                   округа – Югры от 27.11.2025 № 97-оз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 отдельных вопросах организации местного самоуправления в Ханты-Мансийском автономном округе - Югре»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hyperlink r:id="rId16" w:tooltip="garantF1://29021086.130" w:history="1"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4"/>
            <w:szCs w:val="24"/>
            <w:highlight w:val="white"/>
          </w:rPr>
          <w:t xml:space="preserve">статьей 13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устава города Мегиона и определяет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назначени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и проведени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публичных слушаний, в том числе с использованием феде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ральной государственной информационной системы «Единый портал государственных и муниципальных услуг (функций) (далее - Единый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портал), на территории города Мегиона как одной из форм участия жителей города Мегиона в осуществлен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ии местного самоуправления.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Порядок организации и проведения публичных слушаний по вопросам в сфере градостроительной деятельности на территории города Мегиона утверждается отдельным решением Думы города Мегиона.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Основные термины и понятия, используемые в настоящем Порядке: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публичные слушания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- форма участия жителей города Мегиона в осуществлении местного самоуправления посредством обсуждения проектов муниципальных правовых актов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 вопросам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непосредственного обеспечения жизнедеятельности населения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инициатор публичных слушаний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– жители города Мегиона, Дума 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рода Мегиона, глава гор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ода Мегиона (далее - глава города);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инициативная группа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- жители города Мегиона численностью не менее 10 человек, достигшие возраста 18 лет;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организационный комитет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(далее - оргкомитет) - специально сформированный коллегиальный орган, осуществляющий организационные действия по подготовке и проведению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strike w:val="0"/>
          <w:color w:val="000000" w:themeColor="text1"/>
          <w:sz w:val="24"/>
          <w:highlight w:val="white"/>
        </w:rPr>
      </w:pPr>
      <w:r>
        <w:rPr>
          <w:strike w:val="0"/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5)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участники публичных слушаний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 - заинтересованные жители города Мегиона, эксперты, представители органов местного самоуправления, общественных объединений и иные лица, принимающие участие в публичных слушаниях;</w:t>
      </w:r>
      <w:r>
        <w:rPr>
          <w:rFonts w:ascii="Times New Roman" w:hAnsi="Times New Roman" w:cs="Times New Roman"/>
          <w:strike w:val="0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strike w:val="0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pPr>
      <w:r>
        <w:rPr>
          <w:strike w:val="0"/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6)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эксперт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 - лицо, обладающее специальными знаниями по вопросу, выносимому на публичных слушаниях.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Основными целями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назначения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и проведения публичных слушаний являются: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1) обсуждение проектов муниципальных правовых актов с участием жителей города Мегиона;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2) выявление мнения жителей города Мегиона и мнения экспертов по проектам муниципальных правовых актов, выносимым на публичные слушания;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3) осуществление взаимодействия органов местного самоуправления города Мегиона с жителями города Мегиона;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4) поиск приемлемых альтернатив решения важнейших вопросов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непосредственного обеспечения жизнедеятельности населения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города Мегиона;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5) выработка предложений и рекомендаций органам местног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о самоуправления города Мегиона по существу вынесенного на публичные слушания вопроса.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color w:val="000000" w:themeColor="text1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715"/>
        <w:ind w:firstLine="0"/>
        <w:jc w:val="center"/>
        <w:spacing w:before="108" w:after="108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2. Вопросы, выносимые на публичные слушания</w:t>
      </w:r>
      <w:r>
        <w:rPr>
          <w:rFonts w:ascii="Times New Roman" w:hAnsi="Times New Roman" w:cs="Times New Roman"/>
          <w:b/>
          <w:color w:val="000000" w:themeColor="text1"/>
          <w:sz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Публичные слушания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проводятся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на всей территории города Мегиона для обсуждения с участием жителей города Мегиона проектов муниципальных правовых актов по вопросам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непосредственного обеспечения жизнедеятельности населения.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5.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На публичные слушания выносятся: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1) проект устава города Мегиона, а также проект решения Думы города Мегиона о внесении изменений и дополнений в данный устав, кроме случаев, когда в устав города Мегиона вносятся изменения в форме точного воспроизведен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ия положений Конституции Российской Федерации, федеральных законов, конституции (устава) или законов субъекта Российской Федерации в целях приведения устава города Мегиона в соответствие с  нормативными правовыми актами;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2) проект местного бюджета города Мегиона и отчет о его исполнении;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3) вопросы о преобразовании муниципального образования.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15"/>
        <w:ind w:firstLine="0"/>
        <w:jc w:val="center"/>
        <w:spacing w:before="108" w:after="108" w:line="240" w:lineRule="auto"/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3. Инициатива проведения публичных слушаний</w:t>
      </w:r>
      <w:r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Публичные слушания проводятся по инициативе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жителей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города Мегиона,                        Думы города Мегиона, главы города.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7.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Жители города Мегиона для инициирования публичных слушаний формируют инициативную группу.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. Инициативная группа обращается в Думу города Мегиона с ходатайством о проведении публичных слушаний по проекту муниципального правового акта.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. Ходатайство должно содержать: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обоснование необходимости проведения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2) фамилию, имя, отчество (последнее - при наличии), дату рождения, адрес места жительства, контактный телефон каждого члена инициативной группы;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3) сведения о лице из числа членов инициативной группы, уполномоченном действовать от имени инициативной группы (далее - уполномоченный представитель инициати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вной группы);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4)  подписи всех членов инициативной группы;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10.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Обработка персональных данных осуществляется в соответствии с требованиями </w:t>
      </w:r>
      <w:hyperlink r:id="rId17" w:tooltip="garantF1://12048567.0" w:history="1"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4"/>
            <w:szCs w:val="24"/>
            <w:highlight w:val="white"/>
          </w:rPr>
          <w:t xml:space="preserve">Федерального закона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от 27.07.2006 №152-ФЗ «О персональных данных».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Вместе с ходатайством представляется проект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муниципального правового акта,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выносимого на публичные слушания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 согласия на обработку персональных данных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всех членов инициативной груп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по форме согласно приложению к настоящему Порядку, а также иные материалы по усмотрению инициативной группы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при необходимости.</w:t>
      </w: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715"/>
        <w:contextualSpacing/>
        <w:ind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4. 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орядок принятия и официального опубликования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r>
    </w:p>
    <w:p>
      <w:pPr>
        <w:pStyle w:val="715"/>
        <w:contextualSpacing/>
        <w:ind w:firstLine="0"/>
        <w:jc w:val="center"/>
        <w:spacing w:before="108" w:after="108" w:line="240" w:lineRule="auto"/>
        <w:rPr>
          <w:rFonts w:ascii="Times New Roman" w:hAnsi="Times New Roman" w:cs="Times New Roman"/>
          <w:b/>
          <w:bCs/>
          <w:strike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 правовых актов о назначении публичных слушаний</w:t>
      </w:r>
      <w:r>
        <w:rPr>
          <w:rFonts w:ascii="Times New Roman" w:hAnsi="Times New Roman" w:cs="Times New Roman"/>
          <w:b/>
          <w:bCs/>
          <w:strike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trike w:val="0"/>
          <w:color w:val="000000" w:themeColor="text1"/>
          <w:sz w:val="24"/>
          <w:szCs w:val="24"/>
          <w:highlight w:val="white"/>
        </w:rPr>
      </w:r>
    </w:p>
    <w:p>
      <w:pPr>
        <w:pStyle w:val="891"/>
        <w:contextualSpacing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contextualSpacing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Публичные слушания, проводимые по инициативе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жителей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города Мегиона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, Думы города Мегиона, назначаются Думой города Мегиона, а по инициативе                                           главы города - главой города.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Ходатайство, внесенное ин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ициативной группой, рассматривается Думой города Мегиона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в течение 10 дней с момента его поступления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По результатам рассмотрения ходатайства Дума города Мегиона принимает решение о назначении публичных слушаний либо решение об отказе в назначении публичных слушаний.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Решение Думы города Мегиона об отказе в назначении публичных слушаний принимается в случае, если: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trike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проект муниципального правового акта, предлагаемый для вынесения на публичные слушания, противоречит федеральному законодательству, законодательству Ханты-Мансийского автономного округа – Югры;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trike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trike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проект муниципального правового акта, предлагаемый для вынесения на публичные слуш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ания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противоречит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уставу города Мегиона за исключением случая, когда на публичные слушания предлагается вынести проект устава города Мегиона или проект муниципального нормативного правового акта о внесении изменений в устав города Мегиона;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3) по проекту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муниципального правового акта, предлагаемому для вынесения на публичные слушания, Думой города Мегиона, главой города уже принято решение о проведении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4) при внесении инициативы нарушены требования, установленные разделом 3 настоящего Порядка.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. Копия решения Думы города Мегиона об отказе в назначении публичных слушаний направляется уполномоченному представителю инициативной группы в течение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рабочих дней со дня его принятия.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16.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Муниципальный правовой акт о назначении публичных слушаний должен содержать: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1) сведения об инициаторе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2) указание на проведение публичных слушаний по проекту муниципального правового акта;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3) дату, место, время начала, либо период проведения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/>
          <w:iCs/>
          <w:strike w:val="0"/>
          <w:color w:val="ff0000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состав оргкомитета с указанием почтового адреса и адреса электронной почты;            </w:t>
      </w:r>
      <w:r>
        <w:rPr>
          <w:rFonts w:ascii="Times New Roman" w:hAnsi="Times New Roman" w:eastAsia="Times New Roman" w:cs="Times New Roman"/>
          <w:sz w:val="24"/>
          <w:highlight w:val="white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color w:val="ff0000"/>
          <w:sz w:val="24"/>
          <w:highlight w:val="white"/>
        </w:rPr>
      </w:r>
      <w:r>
        <w:rPr>
          <w:rFonts w:ascii="Times New Roman" w:hAnsi="Times New Roman" w:cs="Times New Roman"/>
          <w:b w:val="0"/>
          <w:bCs w:val="0"/>
          <w:i/>
          <w:iCs/>
          <w:strike w:val="0"/>
          <w:color w:val="ff0000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5) порядок, сроки, способы приема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замечаний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предложений по обсуждаемому проекту муниципального правового акта;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6) информац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ию о сотруднике органа местного самоуправления, ответственном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разделе платформы обратной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связи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Единого портала.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17.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Муниципальный правовой акт о назначении публичных слушаний, проект мун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иципального правового акта, предлагаемый к обсуждению на публичных слушаниях, подлежат обнародованию в газете «Мегионские новости», а также размещению на официальном сайте, Едином портал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е,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не позднее чем за 15 календарных дней до начала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20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highlight w:val="white"/>
        </w:rPr>
        <w:t xml:space="preserve">5. П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  <w:t xml:space="preserve">орядок учета замечаний и предложений, представленных жителями муниципального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20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18</w:t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Сроки приема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замечаний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предло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жений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по проекту муниципального правового акта не могут быть менее 10 календарных дней со дня обнародования муниципального правового акта о назначении публичных слушаний, проекта муниципального правового акта, вынесенного на публичные слушания.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19. </w:t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Предложения и замечания по вынесенному на обсуждение про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екту муниципального правового акта представляются в оргкомитет в письменной или в электронной форме на указанный в муниципальном правовом акте о назначении публичных слушаний почтовый адрес, адрес электронной почты, посредством официального сайта, Единого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портала с указанием фамилии, имени, отчества (последнее - при наличии), даты рождения, адреса места жительства и контактного телефона жителя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, внесшего предложения (замечания) по обсуждаемому проекту муниципального правового 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та.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highlight w:val="white"/>
        </w:rPr>
        <w:t xml:space="preserve">Оргкомитет проводит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обобщенный анализ поступивших замечани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й, предложений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 отражает их в заключении 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  <w:t xml:space="preserve"> по результатам публичных слушаний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15"/>
        <w:contextualSpacing/>
        <w:ind w:firstLine="0"/>
        <w:jc w:val="center"/>
        <w:spacing w:before="108" w:after="108" w:line="240" w:lineRule="auto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Деятельность оргкомитета по подготовке и проведению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715"/>
        <w:contextualSpacing/>
        <w:ind w:firstLine="0"/>
        <w:jc w:val="center"/>
        <w:spacing w:before="108" w:after="108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публичных слушаний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white"/>
        </w:rPr>
      </w:r>
    </w:p>
    <w:p>
      <w:pPr>
        <w:pStyle w:val="891"/>
        <w:contextualSpacing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20.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Подготовку к публичным слушаниям и их проведение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осуществляет оргкомитет. Персональный состав оргкомитета утверждается муниципальным правовым актом о назначении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В состав оргкомитета включаются: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1) лица, замещающие муниципальные должности и (или) должности муниципальной службы в органах местного самоуправления города Мегиона;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2) члены инициативной группы, выразившие согласие на назначение себя членом оргкомитета (в случае назначения публичных слушаний по инициативе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жителей города Мегиона);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3) представители общественности;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4) иные лица по предложению инициаторов проведения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редседатель и секретарь орг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комитета определяются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муниципальным правовым актом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 назначении публичных слушаний.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23.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Оргкомитет в целях подготовки и проведения публичных слушаний осуществляет следующие полномочия: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осуществляет подготовку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4"/>
          <w:szCs w:val="24"/>
          <w:highlight w:val="white"/>
        </w:rPr>
        <w:t xml:space="preserve">муниципального правового акта о назначении публичных слушан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4"/>
          <w:szCs w:val="24"/>
          <w:highlight w:val="white"/>
        </w:rPr>
        <w:t xml:space="preserve">ий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информационного сообщения 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проведении публичных слушаний, иной информации, относящейся к теме публичных слушаний;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осуществляет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trike w:val="0"/>
          <w:color w:val="000000" w:themeColor="text1"/>
          <w:sz w:val="24"/>
          <w:szCs w:val="24"/>
          <w:highlight w:val="white"/>
        </w:rPr>
        <w:t xml:space="preserve">повещение</w:t>
      </w:r>
      <w:r>
        <w:rPr>
          <w:rFonts w:ascii="Times New Roman" w:hAnsi="Times New Roman" w:eastAsia="Times New Roman" w:cs="Times New Roman"/>
          <w:i w:val="0"/>
          <w:iCs w:val="0"/>
          <w:strike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trike w:val="0"/>
          <w:color w:val="000000" w:themeColor="text1"/>
          <w:sz w:val="24"/>
          <w:szCs w:val="24"/>
          <w:highlight w:val="white"/>
        </w:rPr>
        <w:t xml:space="preserve">жителей города Мегиона о времени и месте проведения публичных слушаний, обеспечивает</w:t>
      </w:r>
      <w:r>
        <w:rPr>
          <w:rFonts w:ascii="Times New Roman" w:hAnsi="Times New Roman" w:eastAsia="Times New Roman" w:cs="Times New Roman"/>
          <w:i w:val="0"/>
          <w:iCs w:val="0"/>
          <w:strike w:val="0"/>
          <w:color w:val="000000" w:themeColor="text1"/>
          <w:sz w:val="24"/>
          <w:szCs w:val="24"/>
          <w:highlight w:val="white"/>
        </w:rPr>
        <w:t xml:space="preserve"> возможность ознакомления</w:t>
      </w:r>
      <w:r>
        <w:rPr>
          <w:rFonts w:ascii="Times New Roman" w:hAnsi="Times New Roman" w:eastAsia="Times New Roman" w:cs="Times New Roman"/>
          <w:i w:val="0"/>
          <w:iCs w:val="0"/>
          <w:strike w:val="0"/>
          <w:color w:val="000000" w:themeColor="text1"/>
          <w:sz w:val="24"/>
          <w:szCs w:val="24"/>
          <w:highlight w:val="white"/>
        </w:rPr>
        <w:t xml:space="preserve"> с проектом муниципального правового акта, в том числе посредством его размещения на официальном сайте органа местного самоуправления города Мегиона в информационно-телекоммуникационной сети «Интернет», Едином портале, не </w:t>
      </w:r>
      <w:r>
        <w:rPr>
          <w:rFonts w:ascii="Times New Roman" w:hAnsi="Times New Roman" w:eastAsia="Times New Roman" w:cs="Times New Roman"/>
          <w:i w:val="0"/>
          <w:iCs w:val="0"/>
          <w:strike w:val="0"/>
          <w:color w:val="000000" w:themeColor="text1"/>
          <w:sz w:val="24"/>
          <w:szCs w:val="24"/>
          <w:highlight w:val="white"/>
        </w:rPr>
        <w:t xml:space="preserve">менее чем за 10 дней до их проведения</w:t>
      </w:r>
      <w:r>
        <w:rPr>
          <w:rFonts w:ascii="Times New Roman" w:hAnsi="Times New Roman" w:eastAsia="Times New Roman" w:cs="Times New Roman"/>
          <w:i w:val="0"/>
          <w:iCs w:val="0"/>
          <w:strike w:val="0"/>
          <w:color w:val="000000" w:themeColor="text1"/>
          <w:sz w:val="24"/>
          <w:szCs w:val="24"/>
          <w:highlight w:val="white"/>
        </w:rPr>
        <w:t xml:space="preserve">, возможность представления жителями города Мегиона своих замечаний и предложений по вынесенному на обсуждение проекту муниципального правового акта, в том числе посредством официального сайта </w:t>
      </w:r>
      <w:r>
        <w:rPr>
          <w:rFonts w:ascii="Times New Roman" w:hAnsi="Times New Roman" w:eastAsia="Times New Roman" w:cs="Times New Roman"/>
          <w:i w:val="0"/>
          <w:iCs w:val="0"/>
          <w:strike w:val="0"/>
          <w:color w:val="000000" w:themeColor="text1"/>
          <w:sz w:val="24"/>
          <w:szCs w:val="24"/>
          <w:highlight w:val="white"/>
        </w:rPr>
        <w:t xml:space="preserve">органа местного самоуправления в 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i w:val="0"/>
          <w:iCs w:val="0"/>
          <w:strike w:val="0"/>
          <w:color w:val="000000" w:themeColor="text1"/>
          <w:sz w:val="24"/>
          <w:szCs w:val="24"/>
          <w:highlight w:val="white"/>
        </w:rPr>
        <w:t xml:space="preserve">, Едином портале</w:t>
      </w:r>
      <w:r>
        <w:rPr>
          <w:rFonts w:ascii="Times New Roman" w:hAnsi="Times New Roman" w:eastAsia="Times New Roman" w:cs="Times New Roman"/>
          <w:i w:val="0"/>
          <w:iCs w:val="0"/>
          <w:strike w:val="0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организует проведение регистрации участников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содействует участникам публичных слушаний в получении информации, необходимой для подготовки замечаний и предложений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 проектам, выносимым на публичные слушания,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а также осуществляет прием таких замечаний и предложений;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проводит анализ замечаний, предложений и иных материалов по вопросу публичных слушаний, представленных участниками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устанавливает порядок выступлений на публичных слушаниях по вопросам, выносимым на публичные слушания, и поступившим в оргкомитет замечаниям и предложениям;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обеспечивает подготовку заключения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обеспечивает обнародование результатов публичных слушаний, включая мотивированное обоснование принятых решений;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иные полномочия по подготовке и проведению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24.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Деятельность оргкомитета осуществляется на коллегиальной основе. Основной формой работы оргкомитета являются заседания.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Заседание оргкомитета правомочно, если на нем присутствует не менее 2/3                                        от установленного числа членов оргкомитета.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Решения оргкомитета принимаются открытым голосованием большинством голосов от числа членов оргкомитета, присутствующих на заседании.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Решения оргкомитета оформляются в форме протокола заседания оргкомитета, который подписывается присутствующими на заседании членами оргкомитета.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Деятельность оргкомитета прекращается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после обнародования результатов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r>
    </w:p>
    <w:p>
      <w:pPr>
        <w:pStyle w:val="715"/>
        <w:ind w:firstLine="0"/>
        <w:jc w:val="center"/>
        <w:spacing w:before="108" w:after="108" w:line="240" w:lineRule="auto"/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7.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Деятельность оргкомитета по оповещению жителей муниципального образования и иных потенциальных участников публичных слушаний по вопросам, связанным с проведением публичных слушаний</w:t>
      </w:r>
      <w:r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. С целью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жителей города Мегиона и иных потенциальных участников публичных слушаний о предстоящих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публичных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слушаниях оргкомитет осуществляет подготовку информационного сообщения о проведении публичных слушаний, содержащего следующую информацию: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реквизиты и наименование муниципального правового акта о назначении публичных слушаний, ссылку на официальный сайт,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4"/>
          <w:szCs w:val="24"/>
          <w:highlight w:val="white"/>
        </w:rPr>
        <w:t xml:space="preserve">Единой портал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реквизиты газеты «Мегионские новости»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, в которой опубликован указанный муниципальный правовой акт;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тему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strike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дату, место и время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проведения публичных слушаний;</w:t>
      </w:r>
      <w:r>
        <w:rPr>
          <w:rFonts w:ascii="Times New Roman" w:hAnsi="Times New Roman" w:cs="Times New Roman"/>
          <w:strike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strike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краткую информацию о вопросе, вынесенном на публичные слушания;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информацию о порядке внесения жителями города Мегиона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замечаний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предложений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 вынесенному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публичные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слушания проекту муниципального правового акта;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контактные данные секретаря оргкомитета (в случае проведения слушаний по инициативе населения, дополнительно указываются контактные данные уполномоченного представителя инициативной группы);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иное (при необходимости).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27.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Информационное сообщение о проведении публичных слушаний подлежит обнародованию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не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менее чем за 10 дней до их проведения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в газете «Мегионские новости», размещению на официальном сайте, Едином портале, а также может быть дополнительно размещено в иных средствах массовой информации 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28.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По решению оргкомитета оповещение жителей муниципального образования и иных потенциальных участников публичных слушаний может также осуществляться путем: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подомового обхода для приглашения жителей на публичные слушания;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привлечения волонтеров, председателей территориальных общественных самоуправлений и членов общественных организаций для осуществления мероприятий по информированию граждан;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размещения информационного сообщения в общедоступных местах, обеспечивающих возможность ознакомления с информационным сообщением широкого круга лиц, в том числе на информационных стендах и т.п.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распространения информационного сообщения по почтовым ящикам;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использования социальных сетей, иных интернет-ресурсов.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15"/>
        <w:ind w:firstLine="0"/>
        <w:jc w:val="center"/>
        <w:spacing w:before="108" w:after="108" w:line="240" w:lineRule="auto"/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8.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Порядок проведения публичных слушаний</w:t>
      </w:r>
      <w:r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29.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Публичные слушания проводятся по рабочим дням, начиная с 18 часов, либо по выходным дням, начиная с 10 часов. В нерабочие праздничные дни публичные слушания не проводятся.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30.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Публичные слушания проводятся в помещении, соответствующем санитарным нормам и находящимся в транспортной доступности, вместимостью не менее 25 посадочных мест.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Регистрация участников публичных слушаний открывается за один час и проводится до начала публичных слушаний. Для регистрации участником публичных слушаний предъявляется документ, удосто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веряющий личность. При регистрации указываются сведения о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муниципального образования.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Незарегистрированные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качестве участников публичных слушаний лица, в помещение, являющееся местом проведения публичных слушаний, не допускаются.                             В указанное помещение не допускаются также лица, находящиеся в состоянии алкогольного и иного опьянения.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Председательствующим на публичных слушаниях является председатель оргкомитета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Председательствующий открывает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публичные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Время выступления участников публичных слушаний определяется исходя из количества участников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35.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Затем председательствующий дает возможность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36.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- такое предложение или замечание снимается председательствующим с обсуждения.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37.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Общие правила выступлений на публичных слушаниях: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1) лица, участвующие в публичных слушаниях, выступают, отвечают на реплики и задают вопросы только с разрешения председательствующего;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2) выступающие перед началом речи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3) выступающие не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4) все выступления должны быть связаны с предметом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5) присутствующие на публичных слушаниях лица не вправе мешать их проведению.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38.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В случае нарушения правил выступлений на публичных слушаниях председательствующий обязан принять меры к пресечению таких нарушений.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39.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При проведении публичных слушаний ведется протокол и при необходимости аудио- и/или видеозапись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40.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Оргкомитетом при наличии технической возможности может быть организована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прямая трансляция публичных слушаний на официальном сайте.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15"/>
        <w:ind w:firstLine="0"/>
        <w:jc w:val="center"/>
        <w:spacing w:before="108" w:after="108" w:line="240" w:lineRule="auto"/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9.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Порядок проведения публичных слушаний в период режима повышенной готовности, чрезвычайной ситуации, чрезвычайного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на территории, включающей территорию города Мегиона</w:t>
      </w:r>
      <w:r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При введении режима повышенной готовности, чрезвычайной ситуации, чре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звычайного положения на территории, включающей территорию города Мегиона, препятствующего проведению массовых мероприятий, проведение публичных слушаний осуществляется 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настоящим Порядком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с особенностями, установленными настоящим разделом.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В случае, предусмотренном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пунктом 41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настоящего раздела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, про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ведение публичных слушаний осуществляется с использованием технических средств и трансляции заседания в режиме реального времени через официальные аккаунты органов местного самоуправления города Мегиона в информационно-телекоммуникационной сети «Интернет».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43.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Регистрация граждан, желающих выступить на публичных слушаниях посредством использования информационно-телекоммуникационной сети «Интернет», осуществляется со дня обнародования муниципального правового акта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 назначении публичных слушаний и заканчивается за 2 часа до начала публичных слушаний путем направления заявки на адрес электронной почты, указанный в муниципальном правовом акте о назначении публичных слушаний, с указанием наименования вынесенного на обс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уждение проекта муниципального правового акта, сведений о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муниципального образования.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Незарегистрированным в установленном порядке лицам обеспечивается доступ к прямой трансляции публичных слушаний без права участия в них.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Лица, не соблюдающие правила выступления на публичных слушаниях, по решению председательствующего могут быть лишены статуса участника публичных слушаний, с доступом к прямой трансляции публичных слушаний без права участия в них.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15"/>
        <w:contextualSpacing/>
        <w:ind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16"/>
          <w:szCs w:val="16"/>
          <w:highlight w:val="white"/>
        </w:rPr>
      </w:r>
    </w:p>
    <w:p>
      <w:pPr>
        <w:pStyle w:val="715"/>
        <w:contextualSpacing/>
        <w:ind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10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. П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орядок оформления и рассмотрения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none"/>
        </w:rPr>
      </w:r>
    </w:p>
    <w:p>
      <w:pPr>
        <w:pStyle w:val="715"/>
        <w:contextualSpacing/>
        <w:ind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  <w:t xml:space="preserve">Думой города Мегиона результатов публичных слушаний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</w:rPr>
      </w:r>
    </w:p>
    <w:p>
      <w:pPr>
        <w:pStyle w:val="715"/>
        <w:contextualSpacing/>
        <w:ind w:firstLine="0"/>
        <w:jc w:val="center"/>
        <w:spacing w:before="108" w:after="108" w:line="240" w:lineRule="auto"/>
        <w:rPr>
          <w:rFonts w:ascii="Times New Roman" w:hAnsi="Times New Roman" w:eastAsia="Times New Roman" w:cs="Times New Roman"/>
          <w:b/>
          <w:bCs/>
          <w:strike w:val="0"/>
          <w:color w:val="000000" w:themeColor="text1"/>
          <w:sz w:val="16"/>
          <w:szCs w:val="16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trike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strike w:val="0"/>
          <w:color w:val="000000" w:themeColor="text1"/>
          <w:sz w:val="16"/>
          <w:szCs w:val="16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trike w:val="0"/>
          <w:color w:val="000000" w:themeColor="text1"/>
          <w:sz w:val="16"/>
          <w:szCs w:val="16"/>
          <w:highlight w:val="white"/>
          <w14:ligatures w14:val="non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44.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По результатам публичных слушаний в течение 5 рабочих дней после даты их проведения секретарем оргкомитета должны быть подготовлены: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1) протокол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2) заключение по результатам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3) информация по результатам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45.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В протоколе публичных слушаний указываются: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1) дата, место и время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проведения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состоявшихся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2) наименование проекта муниципального правового акта, по которому состоялось обсуждение;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3) количество зарегистрированных участников публичных слушаний, предложения и замечания, высказанные ими в ходе публичных слушаний, а также предложения и замечания, снятые с обсуждения по основаниям,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предусмотренны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м настоящим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орядком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Протокол подписывается председательствующим на публичных слушаниях и секретарем оргкомитета.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Заключение по результатам публичных слушаний включает: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обобщенный анализ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замечаний и предложений,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поступивших от участников публичных слушаний;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предложения и рекомендации оргкомитета публичных слушаний органу местного самоуправления, назначившему публичные слушания, по существу вынесенного на них вопроса с мотивированным обоснованием принятых решений.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Заключение по результатам публичных слушаний подписывается всеми членами оргкомитета и направляется в орган местного самоуправления муниципального об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разования, принявший решение о назначении публичных слушаний, не позднее 5 рабочих дней со дня проведения публичных слушаний. Приложениями к заключению являются: протокол публичных слушаний, письменные предложения и замечания участников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Заключение, подготовленное оргкомитетом по результатам публичных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лушаний, носит для органов местного самоуправления муниципального образования рекомендательный характер и подлежит обязательному рассмотрению органом местного самоуправления, ответственным за принятие решения по вопросам, вынесенным на публичных слушаниях.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highlight w:val="white"/>
        </w:rPr>
        <w:t xml:space="preserve">47.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  <w:t xml:space="preserve">Результаты публичных слушаний, направленные в Думу города Мегиона, рассматриваются на заседании Думы города при рассмотрении проекта муниципального правового акта, по которому проводились публичные слушания.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48.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Информация по результатам публичных слушаний должна содержать сведения о дате,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месте проведения публичных слушаний, вопросе, который был вынесен на публичные слушания, количестве зарегистрированных участников публичных слушаний, количестве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внесенных предложений и замечаний, а также предложения и рекомендации оргкомитета публичных слушаний органу местного самоуправления, назначившему публичные слушания, по существу рассмотренного на них вопроса с мотивированным обоснованием принятых решений.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49. </w:t>
      </w:r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Информация по результатам публичных слушаний, включая мотивированное об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основание принятых решений, подлежит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обнародованию в газете «Мегионские новости», сетевом издании - сайт «Мегион24» (megion24.ru), а также размещению на официальном сайте, Едином портале не позднее 10 дней со дня проведения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15"/>
        <w:ind w:firstLine="0"/>
        <w:jc w:val="center"/>
        <w:spacing w:before="108" w:after="108" w:line="240" w:lineRule="auto"/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Финансирование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проведения публичных слушаний</w:t>
      </w:r>
      <w:r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Источником финансирования расходов на проведение публичных слушаний являются средства местного бюджета, если иное не установлено законодательством.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715"/>
        <w:ind w:firstLine="0"/>
        <w:jc w:val="center"/>
        <w:spacing w:before="108" w:after="108" w:line="240" w:lineRule="auto"/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12. Срок хранения материалов публичных слушаний</w:t>
      </w:r>
      <w:r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pStyle w:val="891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Материалы публичных слушаний хранятся в органах местного самоуправления города Мегиона в течение трех лет со дня проведения публичных слушаний.</w:t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highlight w:val="white"/>
        </w:rPr>
      </w:r>
    </w:p>
    <w:p>
      <w:pPr>
        <w:shd w:val="nil" w:color="auto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br w:type="page" w:clear="all"/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r>
    </w:p>
    <w:p>
      <w:pPr>
        <w:contextualSpacing/>
        <w:ind w:left="6803" w:right="0" w:firstLine="0"/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Приложение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contextualSpacing/>
        <w:ind w:left="6803" w:right="0" w:firstLine="0"/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к Порядку</w:t>
      </w:r>
      <w:r>
        <w:rPr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  <w:t xml:space="preserve">назначения</w:t>
      </w:r>
      <w:r>
        <w:rPr>
          <w:rFonts w:ascii="Times New Roman" w:hAnsi="Times New Roman" w:eastAsia="Times New Roman" w:cs="Times New Roman"/>
          <w:b w:val="0"/>
          <w:bCs w:val="0"/>
          <w:color w:val="26282f"/>
          <w:sz w:val="24"/>
          <w:szCs w:val="24"/>
          <w:highlight w:val="white"/>
        </w:rPr>
        <w:t xml:space="preserve"> и проведения публичных слушаний на территории города Мегиона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Согласие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на обработку персональных данных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jc w:val="center"/>
        <w:spacing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Я, субъект персональных данных: ___________________________________________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  <w:tab/>
        <w:tab/>
        <w:tab/>
        <w:tab/>
        <w:tab/>
        <w:tab/>
        <w:tab/>
        <w:tab/>
        <w:tab/>
        <w:tab/>
        <w:t xml:space="preserve">(Ф.И.О. полностью),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основной документ, удостоверяющий личность: _____________________________________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  <w:tab/>
        <w:tab/>
        <w:tab/>
        <w:tab/>
        <w:tab/>
        <w:tab/>
        <w:t xml:space="preserve">(наименование, серия, номер, дата выдачи, выдавший орган),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0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зарегистрированного(-ой) по адресу: ____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__________________________________________,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  <w:t xml:space="preserve">(Ф.И.О. полностью),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firstLine="0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основной документ, удостоверяю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щий личность: ____________________________________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  <w:tab/>
        <w:tab/>
        <w:tab/>
        <w:tab/>
        <w:tab/>
        <w:tab/>
        <w:tab/>
        <w:t xml:space="preserve">(наименование, серия, номер, дата выдачи, выдавший орган),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0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зарегистрированный(-ая) по адресу: _____________________, ____________________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  <w:tab/>
        <w:tab/>
        <w:tab/>
        <w:t xml:space="preserve">(реквизиты доверенности или иного документа, подтверждающего полномочия представител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  <w:t xml:space="preserve">я)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в соот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ветствии со ст. 9 Федерального закона от 27.07.2006 №152-ФЗ «О персональных данных»,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действуя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свободно, по своей волей и в своем интересе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даю </w:t>
      </w:r>
      <w:r>
        <w:rPr>
          <w:rFonts w:ascii="Times New Roman" w:hAnsi="Times New Roman" w:cs="Times New Roman"/>
          <w:b w:val="0"/>
          <w:bCs w:val="0"/>
          <w:strike w:val="0"/>
          <w:sz w:val="24"/>
          <w:szCs w:val="24"/>
          <w:highlight w:val="white"/>
        </w:rPr>
        <w:t xml:space="preserve">конкретное, предметное, информированное, сознательное и однозначное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согласие на обработку своих персональных данных Думе города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Мегиона (ХМАО-Югра,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город Мегион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улица Нефтяников, дом 8)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                  (далее - оператор), самостоятельно или с привлечением третьих лиц, с целью рассмотрения ходатайства о проведении публичных слушаний в соответствии с действующим законодательством.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еречень моих персональных данных, на обработку которых я даю согласие: фамилия, имя, отчество</w:t>
      </w:r>
      <w:r>
        <w:rPr>
          <w:rFonts w:ascii="Times New Roman" w:hAnsi="Times New Roman" w:cs="Times New Roman"/>
          <w:b w:val="0"/>
          <w:bCs w:val="0"/>
          <w:strike w:val="0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bCs w:val="0"/>
          <w:strike w:val="0"/>
          <w:sz w:val="24"/>
          <w:szCs w:val="24"/>
          <w:highlight w:val="white"/>
        </w:rPr>
        <w:t xml:space="preserve"> гражданс</w:t>
      </w:r>
      <w:r>
        <w:rPr>
          <w:rFonts w:ascii="Times New Roman" w:hAnsi="Times New Roman" w:cs="Times New Roman"/>
          <w:b w:val="0"/>
          <w:bCs w:val="0"/>
          <w:strike w:val="0"/>
          <w:sz w:val="24"/>
          <w:szCs w:val="24"/>
          <w:highlight w:val="white"/>
        </w:rPr>
        <w:t xml:space="preserve">тво</w:t>
      </w:r>
      <w:r>
        <w:rPr>
          <w:rFonts w:ascii="Times New Roman" w:hAnsi="Times New Roman" w:cs="Times New Roman"/>
          <w:b w:val="0"/>
          <w:bCs w:val="0"/>
          <w:strike w:val="0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bCs w:val="0"/>
          <w:strike w:val="0"/>
          <w:sz w:val="24"/>
          <w:szCs w:val="24"/>
          <w:highlight w:val="white"/>
        </w:rPr>
        <w:t xml:space="preserve"> пол</w:t>
      </w:r>
      <w:r>
        <w:rPr>
          <w:rFonts w:ascii="Times New Roman" w:hAnsi="Times New Roman" w:cs="Times New Roman"/>
          <w:b w:val="0"/>
          <w:bCs w:val="0"/>
          <w:strike w:val="0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bCs w:val="0"/>
          <w:strike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trike w:val="0"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ата и место рождения, номер основного документа, удостоверяющего личность, сведения о дате выдачи указанного документа и выдавшем его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органе, адрес регистрации по месту жительства, адрес фактического проживания, номер телефона, адрес электронной почты, ___________________________________ (иные данные).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, использование, передачу (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распространение,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предоставление, доступ), обезличивание, блокирование, удаление, уничтожение.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Согласие действует до его отзыва.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Приложение: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1)Доверенность представителя (иные документы, подтверждающие полномочия представителя) от «___» _____ 20___ г. №____ (если согласие подписывается представителем субъекта персональных данных).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_______________ /___________________/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        (подпись)       (Ф.И.О.)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afterAutospacing="0" w:line="240" w:lineRule="auto"/>
        <w:rPr>
          <w:highlight w:val="whit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___» ___________ ______ г.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rPr>
          <w:rFonts w:ascii="Times New Roman" w:hAnsi="Times New Roman" w:cs="Times New Roman"/>
          <w:strike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trike/>
          <w:sz w:val="24"/>
          <w:szCs w:val="24"/>
          <w:highlight w:val="white"/>
        </w:rPr>
      </w:r>
      <w:r>
        <w:rPr>
          <w:rFonts w:ascii="Times New Roman" w:hAnsi="Times New Roman" w:cs="Times New Roman"/>
          <w:strike/>
          <w:sz w:val="24"/>
          <w:szCs w:val="24"/>
          <w:highlight w:val="white"/>
        </w:rPr>
      </w:r>
      <w:r>
        <w:rPr>
          <w:rFonts w:ascii="Times New Roman" w:hAnsi="Times New Roman" w:cs="Times New Roman"/>
          <w:strike/>
          <w:sz w:val="24"/>
          <w:szCs w:val="24"/>
          <w:highlight w:val="white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851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right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7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>
    <w:name w:val="Heading 1"/>
    <w:basedOn w:val="891"/>
    <w:next w:val="891"/>
    <w:link w:val="7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6">
    <w:name w:val="Heading 1 Char"/>
    <w:link w:val="715"/>
    <w:uiPriority w:val="9"/>
    <w:rPr>
      <w:rFonts w:ascii="Arial" w:hAnsi="Arial" w:eastAsia="Arial" w:cs="Arial"/>
      <w:sz w:val="40"/>
      <w:szCs w:val="40"/>
    </w:rPr>
  </w:style>
  <w:style w:type="paragraph" w:styleId="717">
    <w:name w:val="Heading 2"/>
    <w:basedOn w:val="891"/>
    <w:next w:val="891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8">
    <w:name w:val="Heading 2 Char"/>
    <w:link w:val="717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91"/>
    <w:next w:val="891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743"/>
    <w:uiPriority w:val="99"/>
  </w:style>
  <w:style w:type="table" w:styleId="747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7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>
    <w:name w:val="No Spacing"/>
    <w:basedOn w:val="891"/>
    <w:uiPriority w:val="1"/>
    <w:qFormat/>
    <w:pPr>
      <w:spacing w:after="0" w:line="240" w:lineRule="auto"/>
    </w:pPr>
  </w:style>
  <w:style w:type="paragraph" w:styleId="895">
    <w:name w:val="List Paragraph"/>
    <w:basedOn w:val="891"/>
    <w:uiPriority w:val="34"/>
    <w:qFormat/>
    <w:pPr>
      <w:contextualSpacing/>
      <w:ind w:left="720"/>
    </w:pPr>
  </w:style>
  <w:style w:type="character" w:styleId="896" w:default="1">
    <w:name w:val="Default Paragraph Font"/>
    <w:uiPriority w:val="1"/>
    <w:semiHidden/>
    <w:unhideWhenUsed/>
  </w:style>
  <w:style w:type="paragraph" w:styleId="897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8" w:customStyle="1">
    <w:name w:val="Заголовок статьи"/>
    <w:uiPriority w:val="99"/>
    <w:pPr>
      <w:contextualSpacing w:val="0"/>
      <w:ind w:left="1612" w:right="0" w:hanging="892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Relationship Id="rId15" Type="http://schemas.openxmlformats.org/officeDocument/2006/relationships/hyperlink" Target="garantF1://76748717.28" TargetMode="External"/><Relationship Id="rId16" Type="http://schemas.openxmlformats.org/officeDocument/2006/relationships/hyperlink" Target="garantF1://29021086.130" TargetMode="External"/><Relationship Id="rId17" Type="http://schemas.openxmlformats.org/officeDocument/2006/relationships/hyperlink" Target="garantF1://12048567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MaksimovaVE</cp:lastModifiedBy>
  <cp:revision>28</cp:revision>
  <dcterms:modified xsi:type="dcterms:W3CDTF">2026-04-27T09:07:54Z</dcterms:modified>
</cp:coreProperties>
</file>